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2A40" w14:textId="4B16CF21" w:rsidR="001C5A12" w:rsidRPr="008A60E3" w:rsidRDefault="001C5A12" w:rsidP="001C5A12">
      <w:pPr>
        <w:pStyle w:val="Heading1"/>
        <w:rPr>
          <w:rFonts w:ascii="Palatino Linotype" w:hAnsi="Palatino Linotype"/>
          <w:color w:val="171717" w:themeColor="background2" w:themeShade="1A"/>
        </w:rPr>
      </w:pPr>
      <w:r w:rsidRPr="008A60E3">
        <w:rPr>
          <w:rFonts w:ascii="Palatino Linotype" w:hAnsi="Palatino Linotype"/>
          <w:color w:val="171717" w:themeColor="background2" w:themeShade="1A"/>
          <w:lang w:val="en-US"/>
        </w:rPr>
        <w:t xml:space="preserve">Comments </w:t>
      </w:r>
      <w:r>
        <w:rPr>
          <w:rFonts w:ascii="Palatino Linotype" w:hAnsi="Palatino Linotype"/>
          <w:color w:val="171717" w:themeColor="background2" w:themeShade="1A"/>
          <w:lang w:val="en-US"/>
        </w:rPr>
        <w:t xml:space="preserve">and Suggestions </w:t>
      </w:r>
      <w:r w:rsidRPr="008A60E3">
        <w:rPr>
          <w:rFonts w:ascii="Palatino Linotype" w:hAnsi="Palatino Linotype"/>
          <w:color w:val="171717" w:themeColor="background2" w:themeShade="1A"/>
          <w:lang w:val="en-US"/>
        </w:rPr>
        <w:t xml:space="preserve">on </w:t>
      </w:r>
      <w:r>
        <w:rPr>
          <w:rFonts w:ascii="Palatino Linotype" w:hAnsi="Palatino Linotype"/>
          <w:color w:val="171717" w:themeColor="background2" w:themeShade="1A"/>
          <w:lang w:val="en-US"/>
        </w:rPr>
        <w:t xml:space="preserve">the </w:t>
      </w:r>
      <w:r w:rsidRPr="008A60E3">
        <w:rPr>
          <w:rFonts w:ascii="Palatino Linotype" w:hAnsi="Palatino Linotype"/>
          <w:color w:val="171717" w:themeColor="background2" w:themeShade="1A"/>
          <w:lang w:val="en-US"/>
        </w:rPr>
        <w:t>Draft Intellectual Property Rights Rules of The High Court at Calcutta, 2023</w:t>
      </w:r>
    </w:p>
    <w:p w14:paraId="60261DB7" w14:textId="77777777" w:rsidR="001C5A12" w:rsidRDefault="001C5A12" w:rsidP="00603257">
      <w:pPr>
        <w:pStyle w:val="Heading2"/>
        <w:rPr>
          <w:rFonts w:ascii="Palatino Linotype" w:hAnsi="Palatino Linotype"/>
          <w:color w:val="171717" w:themeColor="background2" w:themeShade="1A"/>
        </w:rPr>
      </w:pPr>
    </w:p>
    <w:p w14:paraId="6EA476A3" w14:textId="27617083" w:rsidR="00603257" w:rsidRPr="008A60E3" w:rsidRDefault="00603257" w:rsidP="00603257">
      <w:pPr>
        <w:pStyle w:val="Heading2"/>
        <w:rPr>
          <w:rFonts w:ascii="Palatino Linotype" w:hAnsi="Palatino Linotype"/>
          <w:color w:val="171717" w:themeColor="background2" w:themeShade="1A"/>
        </w:rPr>
      </w:pPr>
      <w:r w:rsidRPr="008A60E3">
        <w:rPr>
          <w:rFonts w:ascii="Palatino Linotype" w:hAnsi="Palatino Linotype"/>
          <w:color w:val="171717" w:themeColor="background2" w:themeShade="1A"/>
        </w:rPr>
        <w:t>Background</w:t>
      </w:r>
    </w:p>
    <w:p w14:paraId="36682D5F" w14:textId="77777777" w:rsidR="00603257" w:rsidRPr="008A60E3" w:rsidRDefault="00603257" w:rsidP="00603257">
      <w:pPr>
        <w:rPr>
          <w:rFonts w:ascii="Palatino Linotype" w:hAnsi="Palatino Linotype"/>
          <w:sz w:val="2"/>
        </w:rPr>
      </w:pPr>
    </w:p>
    <w:p w14:paraId="2CF4A479" w14:textId="664B2D79" w:rsidR="00603257" w:rsidRPr="008A60E3" w:rsidRDefault="0053111D" w:rsidP="00603257">
      <w:pPr>
        <w:rPr>
          <w:rFonts w:ascii="Palatino Linotype" w:hAnsi="Palatino Linotype"/>
          <w:lang w:val="en-US"/>
        </w:rPr>
      </w:pPr>
      <w:r w:rsidRPr="0053111D">
        <w:rPr>
          <w:rFonts w:ascii="Palatino Linotype" w:hAnsi="Palatino Linotype"/>
        </w:rPr>
        <w:t>The High Court of Calcutta (hereinafter referred to as “Hon’ble Court”) issued a notice inviting comments and suggestions on the "Intellectual Property Rights Rules of The High Court at Calcutta, 2023" (hereinafter referred to as “Draft Rules”). In furtherance of the said notification, IP attorneys at BananaIP Counsels (“BananaIP”) are hereby submitting their views and suggestions with respect to the Draft Rules for the consideration of the Honourable High Court of Calcutta.</w:t>
      </w:r>
    </w:p>
    <w:p w14:paraId="40567F2A" w14:textId="77777777" w:rsidR="00603257" w:rsidRPr="008A60E3" w:rsidRDefault="00603257" w:rsidP="00603257">
      <w:pPr>
        <w:pStyle w:val="Heading2"/>
        <w:rPr>
          <w:rFonts w:ascii="Palatino Linotype" w:hAnsi="Palatino Linotype"/>
          <w:color w:val="171717" w:themeColor="background2" w:themeShade="1A"/>
        </w:rPr>
      </w:pPr>
      <w:r w:rsidRPr="008A60E3">
        <w:rPr>
          <w:rFonts w:ascii="Palatino Linotype" w:hAnsi="Palatino Linotype"/>
          <w:color w:val="171717" w:themeColor="background2" w:themeShade="1A"/>
        </w:rPr>
        <w:t>Comments and Suggestions</w:t>
      </w:r>
    </w:p>
    <w:p w14:paraId="5159337E" w14:textId="77777777" w:rsidR="00603257" w:rsidRPr="008A60E3" w:rsidRDefault="00603257" w:rsidP="00603257">
      <w:pPr>
        <w:rPr>
          <w:rFonts w:ascii="Palatino Linotype" w:hAnsi="Palatino Linotype"/>
        </w:rPr>
      </w:pPr>
    </w:p>
    <w:p w14:paraId="66193C51" w14:textId="77777777" w:rsidR="00603257" w:rsidRPr="008A60E3" w:rsidRDefault="00603257" w:rsidP="00603257">
      <w:pPr>
        <w:pStyle w:val="Heading3"/>
      </w:pPr>
      <w:r>
        <w:t>Accessibility and Reasonable Accommodations</w:t>
      </w:r>
    </w:p>
    <w:p w14:paraId="712BDD91" w14:textId="08159638" w:rsidR="00603257" w:rsidRPr="008A60E3" w:rsidRDefault="00603257" w:rsidP="00603257">
      <w:pPr>
        <w:pStyle w:val="ListParagraph"/>
        <w:rPr>
          <w:rFonts w:ascii="Palatino Linotype" w:hAnsi="Palatino Linotype"/>
          <w:lang w:val="en-US"/>
        </w:rPr>
      </w:pPr>
      <w:r>
        <w:rPr>
          <w:rFonts w:ascii="Palatino Linotype" w:hAnsi="Palatino Linotype"/>
          <w:u w:val="single"/>
          <w:lang w:val="en-US"/>
        </w:rPr>
        <w:t xml:space="preserve">COMMENT: </w:t>
      </w:r>
      <w:r w:rsidR="0053111D" w:rsidRPr="0053111D">
        <w:rPr>
          <w:rFonts w:ascii="Palatino Linotype" w:hAnsi="Palatino Linotype"/>
          <w:lang w:val="en-US"/>
        </w:rPr>
        <w:t>The rules are silent with respect to Accessibility and Reasonable Accommodations for IP Attorneys with disabilities who maybe representing before the Hon’ble Court. It will be helpful if a specific provision relating to accessibility and reasonable accommodations can be incorporated in the Draft Rules. A similar rule has been incorporated in the Delhi High Court Intellectual Property Rights Division Rules, 2021 (Rule 36)</w:t>
      </w:r>
    </w:p>
    <w:p w14:paraId="3AE00454" w14:textId="77777777" w:rsidR="00603257" w:rsidRDefault="00603257" w:rsidP="00603257">
      <w:pPr>
        <w:pStyle w:val="ListParagraph"/>
        <w:ind w:left="1440"/>
        <w:rPr>
          <w:rFonts w:ascii="Palatino Linotype" w:hAnsi="Palatino Linotype"/>
          <w:i/>
          <w:lang w:val="en-US"/>
        </w:rPr>
      </w:pPr>
      <w:r w:rsidRPr="008A60E3">
        <w:rPr>
          <w:rFonts w:ascii="Palatino Linotype" w:hAnsi="Palatino Linotype"/>
          <w:i/>
          <w:lang w:val="en-US"/>
        </w:rPr>
        <w:t>“</w:t>
      </w:r>
      <w:r w:rsidRPr="004D5AC7">
        <w:rPr>
          <w:rFonts w:ascii="Palatino Linotype" w:hAnsi="Palatino Linotype"/>
          <w:b/>
          <w:i/>
          <w:lang w:val="en-US"/>
        </w:rPr>
        <w:t>36. Accessibility and Reasonable Accommodations</w:t>
      </w:r>
    </w:p>
    <w:p w14:paraId="3F12DFB6" w14:textId="77777777" w:rsidR="00603257" w:rsidRDefault="00603257" w:rsidP="00603257">
      <w:pPr>
        <w:pStyle w:val="ListParagraph"/>
        <w:numPr>
          <w:ilvl w:val="0"/>
          <w:numId w:val="2"/>
        </w:numPr>
        <w:rPr>
          <w:rFonts w:ascii="Palatino Linotype" w:hAnsi="Palatino Linotype"/>
          <w:i/>
          <w:lang w:val="en-US"/>
        </w:rPr>
      </w:pPr>
      <w:r w:rsidRPr="00C6338C">
        <w:rPr>
          <w:rFonts w:ascii="Palatino Linotype" w:hAnsi="Palatino Linotype"/>
          <w:i/>
          <w:lang w:val="en-US"/>
        </w:rPr>
        <w:t>All filings before the IPD shall be in a Portable Document Format</w:t>
      </w:r>
      <w:r>
        <w:rPr>
          <w:rFonts w:ascii="Palatino Linotype" w:hAnsi="Palatino Linotype"/>
          <w:i/>
          <w:lang w:val="en-US"/>
        </w:rPr>
        <w:t xml:space="preserve"> </w:t>
      </w:r>
      <w:r w:rsidRPr="00C6338C">
        <w:rPr>
          <w:rFonts w:ascii="Palatino Linotype" w:hAnsi="Palatino Linotype"/>
          <w:i/>
          <w:lang w:val="en-US"/>
        </w:rPr>
        <w:t>with Optical Character Recognition (OCR) enabled with image</w:t>
      </w:r>
      <w:r>
        <w:rPr>
          <w:rFonts w:ascii="Palatino Linotype" w:hAnsi="Palatino Linotype"/>
          <w:i/>
          <w:lang w:val="en-US"/>
        </w:rPr>
        <w:t xml:space="preserve"> </w:t>
      </w:r>
      <w:r w:rsidRPr="00C6338C">
        <w:rPr>
          <w:rFonts w:ascii="Palatino Linotype" w:hAnsi="Palatino Linotype"/>
          <w:i/>
          <w:lang w:val="en-US"/>
        </w:rPr>
        <w:t>resolution of at least 300 dots per inch (dpi)</w:t>
      </w:r>
      <w:r>
        <w:rPr>
          <w:rFonts w:ascii="Palatino Linotype" w:hAnsi="Palatino Linotype"/>
          <w:i/>
          <w:lang w:val="en-US"/>
        </w:rPr>
        <w:t>;</w:t>
      </w:r>
    </w:p>
    <w:p w14:paraId="521D10BF" w14:textId="77777777" w:rsidR="00603257" w:rsidRPr="004D5AC7" w:rsidRDefault="00603257" w:rsidP="00603257">
      <w:pPr>
        <w:pStyle w:val="ListParagraph"/>
        <w:numPr>
          <w:ilvl w:val="0"/>
          <w:numId w:val="2"/>
        </w:numPr>
        <w:rPr>
          <w:rFonts w:ascii="Palatino Linotype" w:hAnsi="Palatino Linotype"/>
          <w:i/>
          <w:lang w:val="en-US"/>
        </w:rPr>
      </w:pPr>
      <w:r w:rsidRPr="004D5AC7">
        <w:rPr>
          <w:rFonts w:ascii="Palatino Linotype" w:hAnsi="Palatino Linotype"/>
          <w:i/>
          <w:lang w:val="en-US"/>
        </w:rPr>
        <w:t xml:space="preserve">The Court, </w:t>
      </w:r>
      <w:proofErr w:type="spellStart"/>
      <w:r w:rsidRPr="004D5AC7">
        <w:rPr>
          <w:rFonts w:ascii="Palatino Linotype" w:hAnsi="Palatino Linotype"/>
          <w:i/>
          <w:lang w:val="en-US"/>
        </w:rPr>
        <w:t>suo</w:t>
      </w:r>
      <w:proofErr w:type="spellEnd"/>
      <w:r w:rsidRPr="004D5AC7">
        <w:rPr>
          <w:rFonts w:ascii="Palatino Linotype" w:hAnsi="Palatino Linotype"/>
          <w:i/>
          <w:lang w:val="en-US"/>
        </w:rPr>
        <w:t xml:space="preserve"> motu or upon a request made by way of application, may issue such direction(s) that it deems necessary for providing reasonable accommodation to such person(s) with a specified disability as recognized </w:t>
      </w:r>
      <w:r w:rsidRPr="004D5AC7">
        <w:rPr>
          <w:rFonts w:ascii="Palatino Linotype" w:hAnsi="Palatino Linotype"/>
          <w:i/>
          <w:lang w:val="en-US"/>
        </w:rPr>
        <w:lastRenderedPageBreak/>
        <w:t xml:space="preserve">under the Rights of Persons with Disabilities Act, 2016 for the sole purpose of participating in the proceedings before the IPD.” </w:t>
      </w:r>
    </w:p>
    <w:p w14:paraId="4018621A" w14:textId="0584D0E6" w:rsidR="00603257" w:rsidRPr="008A60E3" w:rsidRDefault="0053111D" w:rsidP="00603257">
      <w:pPr>
        <w:pStyle w:val="ListParagraph"/>
        <w:ind w:left="1440"/>
        <w:rPr>
          <w:rFonts w:ascii="Palatino Linotype" w:hAnsi="Palatino Linotype"/>
          <w:lang w:val="en-US"/>
        </w:rPr>
      </w:pPr>
      <w:r w:rsidRPr="0053111D">
        <w:rPr>
          <w:rFonts w:ascii="Palatino Linotype" w:hAnsi="Palatino Linotype"/>
          <w:lang w:val="en-US"/>
        </w:rPr>
        <w:t>In addition to this, the Hon’ble Court may consider providing reasonable accommodations based on the nature of the Disability of the IP Attorney.</w:t>
      </w:r>
    </w:p>
    <w:p w14:paraId="02785CCF" w14:textId="77777777" w:rsidR="00603257" w:rsidRDefault="00603257" w:rsidP="00603257">
      <w:pPr>
        <w:pStyle w:val="ListParagraph"/>
        <w:rPr>
          <w:rFonts w:ascii="Palatino Linotype" w:hAnsi="Palatino Linotype"/>
          <w:lang w:val="en-US"/>
        </w:rPr>
      </w:pPr>
      <w:r w:rsidRPr="008A60E3">
        <w:rPr>
          <w:rFonts w:ascii="Palatino Linotype" w:hAnsi="Palatino Linotype"/>
          <w:u w:val="single"/>
          <w:lang w:val="en-US"/>
        </w:rPr>
        <w:t>SUGGESTION:</w:t>
      </w:r>
      <w:r w:rsidRPr="008A60E3">
        <w:rPr>
          <w:rFonts w:ascii="Palatino Linotype" w:hAnsi="Palatino Linotype"/>
          <w:lang w:val="en-US"/>
        </w:rPr>
        <w:t xml:space="preserve"> - </w:t>
      </w:r>
      <w:r w:rsidRPr="004D5AC7">
        <w:rPr>
          <w:rFonts w:ascii="Palatino Linotype" w:hAnsi="Palatino Linotype"/>
          <w:lang w:val="en-US"/>
        </w:rPr>
        <w:t>The Rule relating to Accessibility and Reasonable Accom</w:t>
      </w:r>
      <w:r>
        <w:rPr>
          <w:rFonts w:ascii="Palatino Linotype" w:hAnsi="Palatino Linotype"/>
          <w:lang w:val="en-US"/>
        </w:rPr>
        <w:t>m</w:t>
      </w:r>
      <w:r w:rsidRPr="004D5AC7">
        <w:rPr>
          <w:rFonts w:ascii="Palatino Linotype" w:hAnsi="Palatino Linotype"/>
          <w:lang w:val="en-US"/>
        </w:rPr>
        <w:t>odations may specifically cover the following:</w:t>
      </w:r>
    </w:p>
    <w:p w14:paraId="5E8D311D" w14:textId="77777777" w:rsidR="00603257" w:rsidRDefault="00603257" w:rsidP="00603257">
      <w:pPr>
        <w:pStyle w:val="ListParagraph"/>
        <w:numPr>
          <w:ilvl w:val="0"/>
          <w:numId w:val="3"/>
        </w:numPr>
        <w:rPr>
          <w:rFonts w:ascii="Palatino Linotype" w:hAnsi="Palatino Linotype"/>
          <w:lang w:val="en-US"/>
        </w:rPr>
      </w:pPr>
      <w:r w:rsidRPr="004D5AC7">
        <w:rPr>
          <w:rFonts w:ascii="Palatino Linotype" w:hAnsi="Palatino Linotype"/>
          <w:lang w:val="en-US"/>
        </w:rPr>
        <w:t xml:space="preserve">Documents to be made available in OCR readable accessible formats; </w:t>
      </w:r>
    </w:p>
    <w:p w14:paraId="69A1FD0D" w14:textId="77777777" w:rsidR="00603257" w:rsidRDefault="00603257" w:rsidP="00603257">
      <w:pPr>
        <w:pStyle w:val="ListParagraph"/>
        <w:numPr>
          <w:ilvl w:val="0"/>
          <w:numId w:val="3"/>
        </w:numPr>
        <w:rPr>
          <w:rFonts w:ascii="Palatino Linotype" w:hAnsi="Palatino Linotype"/>
          <w:lang w:val="en-US"/>
        </w:rPr>
      </w:pPr>
      <w:r w:rsidRPr="004D5AC7">
        <w:rPr>
          <w:rFonts w:ascii="Palatino Linotype" w:hAnsi="Palatino Linotype"/>
          <w:lang w:val="en-US"/>
        </w:rPr>
        <w:t>Online hearings to be conducted on accessible platforms; and</w:t>
      </w:r>
    </w:p>
    <w:p w14:paraId="0675D290" w14:textId="77777777" w:rsidR="00603257" w:rsidRPr="004D5AC7" w:rsidRDefault="00603257" w:rsidP="00603257">
      <w:pPr>
        <w:pStyle w:val="ListParagraph"/>
        <w:numPr>
          <w:ilvl w:val="0"/>
          <w:numId w:val="3"/>
        </w:numPr>
        <w:rPr>
          <w:rFonts w:ascii="Palatino Linotype" w:hAnsi="Palatino Linotype"/>
          <w:lang w:val="en-US"/>
        </w:rPr>
      </w:pPr>
      <w:r w:rsidRPr="004D5AC7">
        <w:rPr>
          <w:rFonts w:ascii="Palatino Linotype" w:hAnsi="Palatino Linotype"/>
          <w:lang w:val="en-US"/>
        </w:rPr>
        <w:t xml:space="preserve">Reasonable time extensions to be provided if substantial time is required for converting documents to accessible formats, or to review documents. </w:t>
      </w:r>
    </w:p>
    <w:p w14:paraId="711B94EF" w14:textId="77777777" w:rsidR="00603257" w:rsidRPr="008A60E3" w:rsidRDefault="00603257" w:rsidP="00603257">
      <w:pPr>
        <w:pStyle w:val="ListParagraph"/>
        <w:rPr>
          <w:rFonts w:ascii="Palatino Linotype" w:hAnsi="Palatino Linotype"/>
          <w:lang w:val="en-US"/>
        </w:rPr>
      </w:pPr>
    </w:p>
    <w:p w14:paraId="4A2D7E9F" w14:textId="77777777" w:rsidR="00603257" w:rsidRPr="008A60E3" w:rsidRDefault="00603257" w:rsidP="00603257">
      <w:pPr>
        <w:pStyle w:val="Heading3"/>
      </w:pPr>
      <w:r w:rsidRPr="00DB4F98">
        <w:t xml:space="preserve">Service of </w:t>
      </w:r>
      <w:r>
        <w:t>Documents</w:t>
      </w:r>
    </w:p>
    <w:p w14:paraId="4E5F85E2" w14:textId="77777777" w:rsidR="00603257" w:rsidRPr="000A7B0C" w:rsidRDefault="00603257" w:rsidP="00603257">
      <w:pPr>
        <w:pStyle w:val="ListParagraph"/>
        <w:rPr>
          <w:rFonts w:ascii="Palatino Linotype" w:hAnsi="Palatino Linotype"/>
          <w:lang w:val="en-US"/>
        </w:rPr>
      </w:pPr>
      <w:r>
        <w:rPr>
          <w:rFonts w:ascii="Palatino Linotype" w:hAnsi="Palatino Linotype"/>
          <w:lang w:val="en-US"/>
        </w:rPr>
        <w:t>Rule 16 of the Draft Rules states as follows:</w:t>
      </w:r>
    </w:p>
    <w:p w14:paraId="41A00D10" w14:textId="77777777" w:rsidR="00603257" w:rsidRPr="0068076E" w:rsidRDefault="00603257" w:rsidP="00603257">
      <w:pPr>
        <w:pStyle w:val="ListParagraph"/>
        <w:rPr>
          <w:rFonts w:ascii="Palatino Linotype" w:hAnsi="Palatino Linotype"/>
          <w:i/>
          <w:lang w:val="en-US"/>
        </w:rPr>
      </w:pPr>
      <w:r>
        <w:rPr>
          <w:rFonts w:ascii="Palatino Linotype" w:hAnsi="Palatino Linotype"/>
          <w:i/>
          <w:lang w:val="en-US"/>
        </w:rPr>
        <w:t>“</w:t>
      </w:r>
      <w:r w:rsidRPr="00DB4F98">
        <w:rPr>
          <w:rFonts w:ascii="Palatino Linotype" w:hAnsi="Palatino Linotype"/>
          <w:b/>
          <w:i/>
          <w:lang w:val="en-US"/>
        </w:rPr>
        <w:t>16. Service of Pleadings, Documents and Notices</w:t>
      </w:r>
      <w:r w:rsidRPr="0068076E">
        <w:rPr>
          <w:rFonts w:ascii="Palatino Linotype" w:hAnsi="Palatino Linotype"/>
          <w:i/>
          <w:lang w:val="en-US"/>
        </w:rPr>
        <w:t>:</w:t>
      </w:r>
    </w:p>
    <w:p w14:paraId="3421F01C" w14:textId="77777777" w:rsidR="00603257" w:rsidRDefault="00603257" w:rsidP="00603257">
      <w:pPr>
        <w:pStyle w:val="ListParagraph"/>
        <w:numPr>
          <w:ilvl w:val="0"/>
          <w:numId w:val="4"/>
        </w:numPr>
        <w:rPr>
          <w:rFonts w:ascii="Palatino Linotype" w:hAnsi="Palatino Linotype"/>
          <w:i/>
          <w:lang w:val="en-US"/>
        </w:rPr>
      </w:pPr>
      <w:r w:rsidRPr="00DB4F98">
        <w:rPr>
          <w:rFonts w:ascii="Palatino Linotype" w:hAnsi="Palatino Linotype"/>
          <w:i/>
          <w:lang w:val="en-US"/>
        </w:rPr>
        <w:t>Unless otherwise directed by the IPRD or the IPRAD, an advance copy of the pleadings shall be served upon the parties directly or on the address for service by post and email at least two working days in advance of the date fixed for listing of the proceeding.</w:t>
      </w:r>
    </w:p>
    <w:p w14:paraId="15053F16" w14:textId="77777777" w:rsidR="00603257" w:rsidRPr="00DB4F98" w:rsidRDefault="00603257" w:rsidP="00603257">
      <w:pPr>
        <w:pStyle w:val="ListParagraph"/>
        <w:numPr>
          <w:ilvl w:val="0"/>
          <w:numId w:val="4"/>
        </w:numPr>
        <w:rPr>
          <w:rFonts w:ascii="Palatino Linotype" w:hAnsi="Palatino Linotype"/>
          <w:i/>
          <w:lang w:val="en-US"/>
        </w:rPr>
      </w:pPr>
      <w:r w:rsidRPr="00DB4F98">
        <w:rPr>
          <w:rFonts w:ascii="Palatino Linotype" w:hAnsi="Palatino Linotype"/>
          <w:i/>
          <w:lang w:val="en-US"/>
        </w:rPr>
        <w:t>…</w:t>
      </w:r>
      <w:r w:rsidRPr="00DB4F98">
        <w:t xml:space="preserve"> </w:t>
      </w:r>
    </w:p>
    <w:p w14:paraId="0551EB77" w14:textId="77777777" w:rsidR="00603257" w:rsidRDefault="00603257" w:rsidP="00603257">
      <w:pPr>
        <w:pStyle w:val="ListParagraph"/>
        <w:numPr>
          <w:ilvl w:val="0"/>
          <w:numId w:val="4"/>
        </w:numPr>
        <w:rPr>
          <w:rFonts w:ascii="Palatino Linotype" w:hAnsi="Palatino Linotype"/>
          <w:i/>
          <w:lang w:val="en-US"/>
        </w:rPr>
      </w:pPr>
      <w:r>
        <w:rPr>
          <w:rFonts w:ascii="Palatino Linotype" w:hAnsi="Palatino Linotype"/>
          <w:i/>
          <w:lang w:val="en-US"/>
        </w:rPr>
        <w:t>…</w:t>
      </w:r>
    </w:p>
    <w:p w14:paraId="32C2D7BF" w14:textId="77777777" w:rsidR="00603257" w:rsidRDefault="00603257" w:rsidP="00603257">
      <w:pPr>
        <w:pStyle w:val="ListParagraph"/>
        <w:numPr>
          <w:ilvl w:val="0"/>
          <w:numId w:val="4"/>
        </w:numPr>
        <w:rPr>
          <w:rFonts w:ascii="Palatino Linotype" w:hAnsi="Palatino Linotype"/>
          <w:i/>
          <w:lang w:val="en-US"/>
        </w:rPr>
      </w:pPr>
      <w:r>
        <w:rPr>
          <w:rFonts w:ascii="Palatino Linotype" w:hAnsi="Palatino Linotype"/>
          <w:i/>
          <w:lang w:val="en-US"/>
        </w:rPr>
        <w:t>…</w:t>
      </w:r>
    </w:p>
    <w:p w14:paraId="77DB97F8" w14:textId="77777777" w:rsidR="00603257" w:rsidRPr="00DB4F98" w:rsidRDefault="00603257" w:rsidP="00603257">
      <w:pPr>
        <w:pStyle w:val="ListParagraph"/>
        <w:numPr>
          <w:ilvl w:val="0"/>
          <w:numId w:val="4"/>
        </w:numPr>
        <w:rPr>
          <w:rFonts w:ascii="Palatino Linotype" w:hAnsi="Palatino Linotype"/>
          <w:i/>
          <w:lang w:val="en-US"/>
        </w:rPr>
      </w:pPr>
      <w:r>
        <w:rPr>
          <w:rFonts w:ascii="Palatino Linotype" w:hAnsi="Palatino Linotype"/>
          <w:i/>
          <w:lang w:val="en-US"/>
        </w:rPr>
        <w:t>…</w:t>
      </w:r>
    </w:p>
    <w:p w14:paraId="3E620047" w14:textId="77777777" w:rsidR="00603257" w:rsidRPr="00DB4F98" w:rsidRDefault="00603257" w:rsidP="00603257">
      <w:pPr>
        <w:pStyle w:val="ListParagraph"/>
        <w:numPr>
          <w:ilvl w:val="0"/>
          <w:numId w:val="5"/>
        </w:numPr>
        <w:rPr>
          <w:rFonts w:ascii="Palatino Linotype" w:hAnsi="Palatino Linotype"/>
          <w:i/>
          <w:lang w:val="en-US"/>
        </w:rPr>
      </w:pPr>
      <w:r w:rsidRPr="00DB4F98">
        <w:rPr>
          <w:rFonts w:ascii="Palatino Linotype" w:hAnsi="Palatino Linotype"/>
          <w:i/>
          <w:lang w:val="en-US"/>
        </w:rPr>
        <w:t>The matter may be heard and disposed of after the first day of listing where the opposing party is not represented only on satisfactory proof of service being furnished.”</w:t>
      </w:r>
    </w:p>
    <w:p w14:paraId="50B16EF2" w14:textId="77777777" w:rsidR="00603257" w:rsidRDefault="00603257" w:rsidP="00603257">
      <w:pPr>
        <w:pStyle w:val="ListParagraph"/>
        <w:rPr>
          <w:rFonts w:ascii="Palatino Linotype" w:hAnsi="Palatino Linotype"/>
          <w:lang w:val="en-US"/>
        </w:rPr>
      </w:pPr>
    </w:p>
    <w:p w14:paraId="41FA1ADF" w14:textId="77777777" w:rsidR="00603257" w:rsidRDefault="00603257" w:rsidP="00603257">
      <w:pPr>
        <w:pStyle w:val="ListParagraph"/>
        <w:rPr>
          <w:rFonts w:ascii="Palatino Linotype" w:hAnsi="Palatino Linotype"/>
          <w:lang w:val="en-US"/>
        </w:rPr>
      </w:pPr>
      <w:r w:rsidRPr="000A7B0C">
        <w:rPr>
          <w:rFonts w:ascii="Palatino Linotype" w:hAnsi="Palatino Linotype"/>
          <w:u w:val="single"/>
          <w:lang w:val="en-US"/>
        </w:rPr>
        <w:t>COMMENT:</w:t>
      </w:r>
      <w:r>
        <w:rPr>
          <w:rFonts w:ascii="Palatino Linotype" w:hAnsi="Palatino Linotype"/>
          <w:lang w:val="en-US"/>
        </w:rPr>
        <w:t xml:space="preserve"> In our experience, just two days may not be sufficient to effectively serve the notice and give the other party the opportunity to appear and make submissions. This</w:t>
      </w:r>
      <w:r w:rsidRPr="0068076E">
        <w:rPr>
          <w:rFonts w:ascii="Palatino Linotype" w:hAnsi="Palatino Linotype"/>
          <w:lang w:val="en-US"/>
        </w:rPr>
        <w:t xml:space="preserve"> may result in a</w:t>
      </w:r>
      <w:r>
        <w:rPr>
          <w:rFonts w:ascii="Palatino Linotype" w:hAnsi="Palatino Linotype"/>
          <w:lang w:val="en-US"/>
        </w:rPr>
        <w:t xml:space="preserve"> </w:t>
      </w:r>
      <w:r w:rsidRPr="0068076E">
        <w:rPr>
          <w:rFonts w:ascii="Palatino Linotype" w:hAnsi="Palatino Linotype"/>
          <w:lang w:val="en-US"/>
        </w:rPr>
        <w:t>flurry of unjustified ex-</w:t>
      </w:r>
      <w:proofErr w:type="spellStart"/>
      <w:r w:rsidRPr="0068076E">
        <w:rPr>
          <w:rFonts w:ascii="Palatino Linotype" w:hAnsi="Palatino Linotype"/>
          <w:lang w:val="en-US"/>
        </w:rPr>
        <w:t>parte</w:t>
      </w:r>
      <w:proofErr w:type="spellEnd"/>
      <w:r w:rsidRPr="0068076E">
        <w:rPr>
          <w:rFonts w:ascii="Palatino Linotype" w:hAnsi="Palatino Linotype"/>
          <w:lang w:val="en-US"/>
        </w:rPr>
        <w:t xml:space="preserve"> orders. Also, as the IP Offices' website is not functioning appropriately, two days may not be enough to review the facts and merits, and respond appropriately</w:t>
      </w:r>
      <w:r w:rsidRPr="008A60E3">
        <w:rPr>
          <w:rFonts w:ascii="Palatino Linotype" w:hAnsi="Palatino Linotype"/>
          <w:lang w:val="en-US"/>
        </w:rPr>
        <w:t>.</w:t>
      </w:r>
    </w:p>
    <w:p w14:paraId="32E5B880" w14:textId="77777777" w:rsidR="00603257" w:rsidRPr="008A60E3" w:rsidRDefault="00603257" w:rsidP="00603257">
      <w:pPr>
        <w:pStyle w:val="ListParagraph"/>
        <w:rPr>
          <w:rFonts w:ascii="Palatino Linotype" w:hAnsi="Palatino Linotype"/>
          <w:lang w:val="en-US"/>
        </w:rPr>
      </w:pPr>
    </w:p>
    <w:p w14:paraId="31E3D806" w14:textId="77777777" w:rsidR="00603257" w:rsidRPr="008A60E3" w:rsidRDefault="00603257" w:rsidP="00603257">
      <w:pPr>
        <w:pStyle w:val="ListParagraph"/>
        <w:rPr>
          <w:rFonts w:ascii="Palatino Linotype" w:hAnsi="Palatino Linotype"/>
          <w:lang w:val="en-US"/>
        </w:rPr>
      </w:pPr>
      <w:r w:rsidRPr="008A60E3">
        <w:rPr>
          <w:rFonts w:ascii="Palatino Linotype" w:hAnsi="Palatino Linotype"/>
          <w:u w:val="single"/>
          <w:lang w:val="en-US"/>
        </w:rPr>
        <w:lastRenderedPageBreak/>
        <w:t>SUGGESTION:</w:t>
      </w:r>
      <w:r w:rsidRPr="008A60E3">
        <w:rPr>
          <w:rFonts w:ascii="Palatino Linotype" w:hAnsi="Palatino Linotype"/>
          <w:lang w:val="en-US"/>
        </w:rPr>
        <w:t xml:space="preserve"> - </w:t>
      </w:r>
      <w:r w:rsidRPr="00DB4F98">
        <w:rPr>
          <w:rFonts w:ascii="Palatino Linotype" w:hAnsi="Palatino Linotype"/>
          <w:lang w:val="en-US"/>
        </w:rPr>
        <w:t>The term for notice maybe changed to 7</w:t>
      </w:r>
      <w:r>
        <w:rPr>
          <w:rFonts w:ascii="Palatino Linotype" w:hAnsi="Palatino Linotype"/>
          <w:lang w:val="en-US"/>
        </w:rPr>
        <w:t xml:space="preserve"> </w:t>
      </w:r>
      <w:r w:rsidRPr="00DB4F98">
        <w:rPr>
          <w:rFonts w:ascii="Palatino Linotype" w:hAnsi="Palatino Linotype"/>
          <w:lang w:val="en-US"/>
        </w:rPr>
        <w:t>days.</w:t>
      </w:r>
      <w:r w:rsidRPr="00DB4F98">
        <w:t xml:space="preserve"> </w:t>
      </w:r>
      <w:r w:rsidRPr="00DB4F98">
        <w:rPr>
          <w:rFonts w:ascii="Palatino Linotype" w:hAnsi="Palatino Linotype"/>
          <w:lang w:val="en-US"/>
        </w:rPr>
        <w:t>Also, in the context of service of notice the case may not be disposed in less than 3 hearings.</w:t>
      </w:r>
    </w:p>
    <w:p w14:paraId="0CE329A3" w14:textId="77777777" w:rsidR="00603257" w:rsidRPr="008A60E3" w:rsidRDefault="00603257" w:rsidP="00603257">
      <w:pPr>
        <w:pStyle w:val="ListParagraph"/>
        <w:rPr>
          <w:rFonts w:ascii="Palatino Linotype" w:hAnsi="Palatino Linotype"/>
          <w:lang w:val="en-US"/>
        </w:rPr>
      </w:pPr>
    </w:p>
    <w:p w14:paraId="01C10253" w14:textId="77777777" w:rsidR="00603257" w:rsidRPr="008A60E3" w:rsidRDefault="00603257" w:rsidP="00603257">
      <w:pPr>
        <w:pStyle w:val="Heading3"/>
      </w:pPr>
      <w:r>
        <w:t>Translated Documents</w:t>
      </w:r>
    </w:p>
    <w:p w14:paraId="6482CECA" w14:textId="77777777" w:rsidR="00603257" w:rsidRDefault="00603257" w:rsidP="00603257">
      <w:pPr>
        <w:ind w:left="720"/>
        <w:rPr>
          <w:rFonts w:ascii="Palatino Linotype" w:hAnsi="Palatino Linotype"/>
          <w:lang w:val="en-US"/>
        </w:rPr>
      </w:pPr>
      <w:r>
        <w:rPr>
          <w:rFonts w:ascii="Palatino Linotype" w:hAnsi="Palatino Linotype"/>
          <w:lang w:val="en-US"/>
        </w:rPr>
        <w:t>Rule 26 of the Draft Rules states as follows,</w:t>
      </w:r>
    </w:p>
    <w:p w14:paraId="094414C6" w14:textId="77777777" w:rsidR="00603257" w:rsidRPr="001615DB" w:rsidRDefault="00603257" w:rsidP="00603257">
      <w:pPr>
        <w:ind w:left="720"/>
        <w:rPr>
          <w:rFonts w:ascii="Palatino Linotype" w:hAnsi="Palatino Linotype"/>
          <w:b/>
          <w:i/>
          <w:lang w:val="en-US"/>
        </w:rPr>
      </w:pPr>
      <w:r w:rsidRPr="001615DB">
        <w:rPr>
          <w:rFonts w:ascii="Palatino Linotype" w:hAnsi="Palatino Linotype"/>
          <w:i/>
          <w:lang w:val="en-US"/>
        </w:rPr>
        <w:t>“</w:t>
      </w:r>
      <w:r w:rsidRPr="001615DB">
        <w:rPr>
          <w:rFonts w:ascii="Palatino Linotype" w:hAnsi="Palatino Linotype"/>
          <w:b/>
          <w:i/>
          <w:lang w:val="en-US"/>
        </w:rPr>
        <w:t>26. Translations and transliterations:</w:t>
      </w:r>
    </w:p>
    <w:p w14:paraId="13DD9DF0" w14:textId="77777777" w:rsidR="00603257" w:rsidRPr="001615DB" w:rsidRDefault="00603257" w:rsidP="00603257">
      <w:pPr>
        <w:ind w:left="720"/>
        <w:rPr>
          <w:rFonts w:ascii="Palatino Linotype" w:hAnsi="Palatino Linotype"/>
          <w:i/>
          <w:lang w:val="en-US"/>
        </w:rPr>
      </w:pPr>
      <w:r w:rsidRPr="001615DB">
        <w:rPr>
          <w:rFonts w:ascii="Palatino Linotype" w:hAnsi="Palatino Linotype"/>
          <w:i/>
          <w:lang w:val="en-US"/>
        </w:rPr>
        <w:t>No document in a language other than English, intended to be used in any proceeding before IPRD or the IPRAD, as the case may be, shall be received by the Department, unless accompanied by:</w:t>
      </w:r>
    </w:p>
    <w:p w14:paraId="3800C7E5" w14:textId="77777777" w:rsidR="00603257" w:rsidRPr="001615DB" w:rsidRDefault="00603257" w:rsidP="00603257">
      <w:pPr>
        <w:ind w:left="720"/>
        <w:rPr>
          <w:rFonts w:ascii="Palatino Linotype" w:hAnsi="Palatino Linotype"/>
          <w:i/>
          <w:lang w:val="en-US"/>
        </w:rPr>
      </w:pPr>
      <w:r w:rsidRPr="001615DB">
        <w:rPr>
          <w:rFonts w:ascii="Palatino Linotype" w:hAnsi="Palatino Linotype"/>
          <w:i/>
          <w:lang w:val="en-US"/>
        </w:rPr>
        <w:t>(a) A duly certified English translation thereof or</w:t>
      </w:r>
    </w:p>
    <w:p w14:paraId="11016F84" w14:textId="77777777" w:rsidR="00603257" w:rsidRDefault="00603257" w:rsidP="00603257">
      <w:pPr>
        <w:ind w:left="720"/>
        <w:rPr>
          <w:rFonts w:ascii="Palatino Linotype" w:hAnsi="Palatino Linotype"/>
          <w:i/>
          <w:lang w:val="en-US"/>
        </w:rPr>
      </w:pPr>
      <w:r w:rsidRPr="001615DB">
        <w:rPr>
          <w:rFonts w:ascii="Palatino Linotype" w:hAnsi="Palatino Linotype"/>
          <w:i/>
          <w:lang w:val="en-US"/>
        </w:rPr>
        <w:t>(b) A translation generated using standard online translation software such as Google Translate or Bing Translate provided however that such online translation may be rejected if the other party is able to establish the inaccuracy thereof.”</w:t>
      </w:r>
    </w:p>
    <w:p w14:paraId="7F1FCDD3" w14:textId="18445140" w:rsidR="00603257" w:rsidRPr="008A60E3" w:rsidRDefault="00603257" w:rsidP="00603257">
      <w:pPr>
        <w:ind w:left="720"/>
        <w:rPr>
          <w:rFonts w:ascii="Palatino Linotype" w:hAnsi="Palatino Linotype"/>
          <w:lang w:val="en-US"/>
        </w:rPr>
      </w:pPr>
      <w:r>
        <w:rPr>
          <w:rFonts w:ascii="Palatino Linotype" w:hAnsi="Palatino Linotype"/>
          <w:u w:val="single"/>
          <w:lang w:val="en-US"/>
        </w:rPr>
        <w:t xml:space="preserve">COMMENT: </w:t>
      </w:r>
      <w:r w:rsidR="0053111D" w:rsidRPr="0053111D">
        <w:rPr>
          <w:rFonts w:ascii="Palatino Linotype" w:hAnsi="Palatino Linotype"/>
          <w:lang w:val="en-US"/>
        </w:rPr>
        <w:t xml:space="preserve">Most translation tools are not very accurate at this point of time especially with respect to Indian languages and </w:t>
      </w:r>
      <w:proofErr w:type="spellStart"/>
      <w:r w:rsidR="0053111D" w:rsidRPr="0053111D">
        <w:rPr>
          <w:rFonts w:ascii="Palatino Linotype" w:hAnsi="Palatino Linotype"/>
          <w:lang w:val="en-US"/>
        </w:rPr>
        <w:t>delinear</w:t>
      </w:r>
      <w:proofErr w:type="spellEnd"/>
      <w:r w:rsidR="0053111D" w:rsidRPr="0053111D">
        <w:rPr>
          <w:rFonts w:ascii="Palatino Linotype" w:hAnsi="Palatino Linotype"/>
          <w:lang w:val="en-US"/>
        </w:rPr>
        <w:t xml:space="preserve"> languages. Moreover, translation tools are even less accurate with respect </w:t>
      </w:r>
      <w:r w:rsidR="0053111D" w:rsidRPr="0053111D">
        <w:rPr>
          <w:rFonts w:ascii="Palatino Linotype" w:hAnsi="Palatino Linotype"/>
          <w:lang w:val="en-US"/>
        </w:rPr>
        <w:t>to technical</w:t>
      </w:r>
      <w:r w:rsidR="0053111D" w:rsidRPr="0053111D">
        <w:rPr>
          <w:rFonts w:ascii="Palatino Linotype" w:hAnsi="Palatino Linotype"/>
          <w:lang w:val="en-US"/>
        </w:rPr>
        <w:t xml:space="preserve"> documents such as patents. They often wrongfully translate important parts of the patent specifications such as claims. Additionally, legal orders and documents are currently fraught with significant translation issues.</w:t>
      </w:r>
    </w:p>
    <w:p w14:paraId="022824AC" w14:textId="77777777" w:rsidR="00603257" w:rsidRPr="008A60E3" w:rsidRDefault="00603257" w:rsidP="00603257">
      <w:pPr>
        <w:ind w:left="720"/>
        <w:rPr>
          <w:rFonts w:ascii="Palatino Linotype" w:hAnsi="Palatino Linotype"/>
          <w:lang w:val="en-US"/>
        </w:rPr>
      </w:pPr>
      <w:r w:rsidRPr="008A60E3">
        <w:rPr>
          <w:rFonts w:ascii="Palatino Linotype" w:hAnsi="Palatino Linotype"/>
          <w:u w:val="single"/>
          <w:lang w:val="en-US"/>
        </w:rPr>
        <w:t>SUGGESTION</w:t>
      </w:r>
      <w:r w:rsidRPr="008A60E3">
        <w:rPr>
          <w:rFonts w:ascii="Palatino Linotype" w:hAnsi="Palatino Linotype"/>
          <w:lang w:val="en-US"/>
        </w:rPr>
        <w:t xml:space="preserve">: - </w:t>
      </w:r>
      <w:r w:rsidRPr="00DD2190">
        <w:rPr>
          <w:rFonts w:ascii="Palatino Linotype" w:hAnsi="Palatino Linotype"/>
          <w:lang w:val="en-US"/>
        </w:rPr>
        <w:t>Translations of documents maybe accepted by the court only if they are duly certified. If any, machine translated documents are submitted the burden of proving their accuracy maybe placed on the person submitting the same</w:t>
      </w:r>
      <w:r w:rsidRPr="008A60E3">
        <w:rPr>
          <w:rFonts w:ascii="Palatino Linotype" w:hAnsi="Palatino Linotype"/>
          <w:lang w:val="en-US"/>
        </w:rPr>
        <w:t>.</w:t>
      </w:r>
    </w:p>
    <w:p w14:paraId="59138844" w14:textId="77777777" w:rsidR="00603257" w:rsidRPr="008A60E3" w:rsidRDefault="00603257" w:rsidP="00603257">
      <w:pPr>
        <w:ind w:left="720"/>
        <w:rPr>
          <w:rFonts w:ascii="Palatino Linotype" w:hAnsi="Palatino Linotype"/>
          <w:lang w:val="en-US"/>
        </w:rPr>
      </w:pPr>
    </w:p>
    <w:p w14:paraId="5D5F71DE" w14:textId="77777777" w:rsidR="00603257" w:rsidRPr="00F5425B" w:rsidRDefault="00603257" w:rsidP="00603257">
      <w:pPr>
        <w:pStyle w:val="Heading3"/>
      </w:pPr>
      <w:r>
        <w:t>Timeline for filing applications</w:t>
      </w:r>
    </w:p>
    <w:p w14:paraId="31A04856" w14:textId="77777777" w:rsidR="00603257" w:rsidRDefault="00603257" w:rsidP="00603257">
      <w:pPr>
        <w:ind w:left="720"/>
        <w:rPr>
          <w:rFonts w:ascii="Palatino Linotype" w:hAnsi="Palatino Linotype"/>
          <w:lang w:val="en-US"/>
        </w:rPr>
      </w:pPr>
      <w:r>
        <w:rPr>
          <w:rFonts w:ascii="Palatino Linotype" w:hAnsi="Palatino Linotype"/>
          <w:lang w:val="en-US"/>
        </w:rPr>
        <w:t>Rule 12 of the Draft Rules states as follows,</w:t>
      </w:r>
    </w:p>
    <w:p w14:paraId="6D03DA4A" w14:textId="77777777" w:rsidR="00603257" w:rsidRPr="00F5425B" w:rsidRDefault="00603257" w:rsidP="00603257">
      <w:pPr>
        <w:ind w:left="720"/>
        <w:rPr>
          <w:rFonts w:ascii="Palatino Linotype" w:hAnsi="Palatino Linotype"/>
          <w:i/>
          <w:lang w:val="en-US"/>
        </w:rPr>
      </w:pPr>
      <w:r>
        <w:rPr>
          <w:rFonts w:ascii="Palatino Linotype" w:hAnsi="Palatino Linotype"/>
          <w:lang w:val="en-US"/>
        </w:rPr>
        <w:t>“</w:t>
      </w:r>
      <w:r w:rsidRPr="001E5EA4">
        <w:rPr>
          <w:rFonts w:ascii="Palatino Linotype" w:hAnsi="Palatino Linotype"/>
          <w:b/>
          <w:i/>
          <w:lang w:val="en-US"/>
        </w:rPr>
        <w:t>12. Procedure in Applications arising out of the Acts mentioned in Rule 2(a)</w:t>
      </w:r>
    </w:p>
    <w:p w14:paraId="47DA3AEC" w14:textId="77777777" w:rsidR="00603257" w:rsidRPr="00F5425B" w:rsidRDefault="00603257" w:rsidP="00603257">
      <w:pPr>
        <w:ind w:left="720"/>
        <w:rPr>
          <w:rFonts w:ascii="Palatino Linotype" w:hAnsi="Palatino Linotype"/>
          <w:i/>
          <w:lang w:val="en-US"/>
        </w:rPr>
      </w:pPr>
      <w:r w:rsidRPr="00F5425B">
        <w:rPr>
          <w:rFonts w:ascii="Palatino Linotype" w:hAnsi="Palatino Linotype"/>
          <w:i/>
          <w:lang w:val="en-US"/>
        </w:rPr>
        <w:t xml:space="preserve">… </w:t>
      </w:r>
    </w:p>
    <w:p w14:paraId="1A135B42" w14:textId="77777777" w:rsidR="00603257" w:rsidRPr="00F5425B" w:rsidRDefault="00603257" w:rsidP="00603257">
      <w:pPr>
        <w:pStyle w:val="ListParagraph"/>
        <w:numPr>
          <w:ilvl w:val="0"/>
          <w:numId w:val="5"/>
        </w:numPr>
        <w:rPr>
          <w:rFonts w:ascii="Palatino Linotype" w:hAnsi="Palatino Linotype"/>
          <w:lang w:val="en-US"/>
        </w:rPr>
      </w:pPr>
      <w:r w:rsidRPr="00F5425B">
        <w:rPr>
          <w:rFonts w:ascii="Palatino Linotype" w:hAnsi="Palatino Linotype"/>
          <w:i/>
          <w:lang w:val="en-US"/>
        </w:rPr>
        <w:lastRenderedPageBreak/>
        <w:t>Upon service of the application, the respondents shall file a reply with all evidence/documents intended to be relied on within 45 days from the date of service of the application unless the IPRD otherwise directs. However, in the case of applications under the Patents Act, 1970, the period for filing such Reply shall be 90 days. …</w:t>
      </w:r>
      <w:r>
        <w:rPr>
          <w:rFonts w:ascii="Palatino Linotype" w:hAnsi="Palatino Linotype"/>
          <w:lang w:val="en-US"/>
        </w:rPr>
        <w:t>”</w:t>
      </w:r>
    </w:p>
    <w:p w14:paraId="73A0BF8D" w14:textId="7C7D1EE8" w:rsidR="00603257" w:rsidRDefault="00603257" w:rsidP="00603257">
      <w:pPr>
        <w:ind w:left="720"/>
        <w:rPr>
          <w:rFonts w:ascii="Palatino Linotype" w:hAnsi="Palatino Linotype"/>
          <w:lang w:val="en-US"/>
        </w:rPr>
      </w:pPr>
      <w:r>
        <w:rPr>
          <w:rFonts w:ascii="Palatino Linotype" w:hAnsi="Palatino Linotype"/>
          <w:u w:val="single"/>
          <w:lang w:val="en-US"/>
        </w:rPr>
        <w:t xml:space="preserve">COMMENT: </w:t>
      </w:r>
      <w:r w:rsidR="0053111D" w:rsidRPr="0053111D">
        <w:rPr>
          <w:rFonts w:ascii="Palatino Linotype" w:hAnsi="Palatino Linotype"/>
          <w:lang w:val="en-US"/>
        </w:rPr>
        <w:t>Like Patents certain matters relating to Plant Varieties, Designs and Semiconductor Integrated Circuits are also technical in nature and may require additional time for filing.</w:t>
      </w:r>
    </w:p>
    <w:p w14:paraId="78E1767C" w14:textId="77777777" w:rsidR="00603257" w:rsidRPr="008A60E3" w:rsidRDefault="00603257" w:rsidP="00603257">
      <w:pPr>
        <w:ind w:left="720"/>
        <w:rPr>
          <w:rFonts w:ascii="Palatino Linotype" w:hAnsi="Palatino Linotype"/>
          <w:lang w:val="en-US"/>
        </w:rPr>
      </w:pPr>
      <w:r>
        <w:rPr>
          <w:rFonts w:ascii="Palatino Linotype" w:hAnsi="Palatino Linotype"/>
          <w:u w:val="single"/>
          <w:lang w:val="en-US"/>
        </w:rPr>
        <w:t>S</w:t>
      </w:r>
      <w:r w:rsidRPr="008A60E3">
        <w:rPr>
          <w:rFonts w:ascii="Palatino Linotype" w:hAnsi="Palatino Linotype"/>
          <w:u w:val="single"/>
          <w:lang w:val="en-US"/>
        </w:rPr>
        <w:t>UGGESTION:</w:t>
      </w:r>
      <w:r w:rsidRPr="008A60E3">
        <w:rPr>
          <w:rFonts w:ascii="Palatino Linotype" w:hAnsi="Palatino Linotype"/>
          <w:lang w:val="en-US"/>
        </w:rPr>
        <w:t xml:space="preserve"> - </w:t>
      </w:r>
      <w:r w:rsidRPr="00F5425B">
        <w:rPr>
          <w:rFonts w:ascii="Palatino Linotype" w:hAnsi="Palatino Linotype"/>
          <w:lang w:val="en-US"/>
        </w:rPr>
        <w:t xml:space="preserve">The extra time provided for Patents may also be provided </w:t>
      </w:r>
      <w:r>
        <w:rPr>
          <w:rFonts w:ascii="Palatino Linotype" w:hAnsi="Palatino Linotype"/>
          <w:lang w:val="en-US"/>
        </w:rPr>
        <w:t xml:space="preserve">for matters pertaining to </w:t>
      </w:r>
      <w:r w:rsidRPr="00F5425B">
        <w:rPr>
          <w:rFonts w:ascii="Palatino Linotype" w:hAnsi="Palatino Linotype"/>
          <w:lang w:val="en-US"/>
        </w:rPr>
        <w:t>Plant Vari</w:t>
      </w:r>
      <w:r>
        <w:rPr>
          <w:rFonts w:ascii="Palatino Linotype" w:hAnsi="Palatino Linotype"/>
          <w:lang w:val="en-US"/>
        </w:rPr>
        <w:t>e</w:t>
      </w:r>
      <w:r w:rsidRPr="00F5425B">
        <w:rPr>
          <w:rFonts w:ascii="Palatino Linotype" w:hAnsi="Palatino Linotype"/>
          <w:lang w:val="en-US"/>
        </w:rPr>
        <w:t xml:space="preserve">ties, </w:t>
      </w:r>
      <w:r>
        <w:rPr>
          <w:rFonts w:ascii="Palatino Linotype" w:hAnsi="Palatino Linotype"/>
          <w:lang w:val="en-US"/>
        </w:rPr>
        <w:t>D</w:t>
      </w:r>
      <w:r w:rsidRPr="00F5425B">
        <w:rPr>
          <w:rFonts w:ascii="Palatino Linotype" w:hAnsi="Palatino Linotype"/>
          <w:lang w:val="en-US"/>
        </w:rPr>
        <w:t>esigns and Semiconductor Integrated Circuits</w:t>
      </w:r>
      <w:r>
        <w:rPr>
          <w:rFonts w:ascii="Palatino Linotype" w:hAnsi="Palatino Linotype"/>
          <w:lang w:val="en-US"/>
        </w:rPr>
        <w:t xml:space="preserve">. </w:t>
      </w:r>
    </w:p>
    <w:p w14:paraId="7C8B7365" w14:textId="77777777" w:rsidR="00603257" w:rsidRPr="008A60E3" w:rsidRDefault="00603257" w:rsidP="00603257">
      <w:pPr>
        <w:ind w:left="720"/>
        <w:rPr>
          <w:rFonts w:ascii="Palatino Linotype" w:hAnsi="Palatino Linotype"/>
        </w:rPr>
      </w:pPr>
    </w:p>
    <w:p w14:paraId="0CD6EFBE" w14:textId="77777777" w:rsidR="00603257" w:rsidRPr="008A60E3" w:rsidRDefault="00603257" w:rsidP="00603257">
      <w:pPr>
        <w:pStyle w:val="Heading2"/>
        <w:rPr>
          <w:rFonts w:ascii="Palatino Linotype" w:hAnsi="Palatino Linotype"/>
          <w:color w:val="171717" w:themeColor="background2" w:themeShade="1A"/>
        </w:rPr>
      </w:pPr>
      <w:r w:rsidRPr="008A60E3">
        <w:rPr>
          <w:rFonts w:ascii="Palatino Linotype" w:hAnsi="Palatino Linotype"/>
          <w:color w:val="171717" w:themeColor="background2" w:themeShade="1A"/>
        </w:rPr>
        <w:t>Disclaimer</w:t>
      </w:r>
    </w:p>
    <w:p w14:paraId="1FF57363" w14:textId="77777777" w:rsidR="0053111D" w:rsidRDefault="0053111D" w:rsidP="0053111D">
      <w:pPr>
        <w:rPr>
          <w:rFonts w:ascii="Palatino Linotype" w:hAnsi="Palatino Linotype"/>
          <w:lang w:val="en-US"/>
        </w:rPr>
      </w:pPr>
      <w:r w:rsidRPr="0053111D">
        <w:rPr>
          <w:rFonts w:ascii="Palatino Linotype" w:hAnsi="Palatino Linotype"/>
          <w:lang w:val="en-US"/>
        </w:rPr>
        <w:t xml:space="preserve">The comments, suggestions, and opinions provided in this document are based on the experience and understanding of the attorneys at BananaIP Counsels. They may not be considered as generalization of any </w:t>
      </w:r>
      <w:proofErr w:type="gramStart"/>
      <w:r w:rsidRPr="0053111D">
        <w:rPr>
          <w:rFonts w:ascii="Palatino Linotype" w:hAnsi="Palatino Linotype"/>
          <w:lang w:val="en-US"/>
        </w:rPr>
        <w:t>particular aspect</w:t>
      </w:r>
      <w:proofErr w:type="gramEnd"/>
      <w:r w:rsidRPr="0053111D">
        <w:rPr>
          <w:rFonts w:ascii="Palatino Linotype" w:hAnsi="Palatino Linotype"/>
          <w:lang w:val="en-US"/>
        </w:rPr>
        <w:t xml:space="preserve"> or matter addressed in this document. It is understood that attorneys and experts within and outside BananaIP may have differing opinions, and that the suggestions provided are not the only ways of resolving issues expounded in the document.</w:t>
      </w:r>
    </w:p>
    <w:p w14:paraId="746519E1" w14:textId="77777777" w:rsidR="0053111D" w:rsidRDefault="0053111D" w:rsidP="0053111D">
      <w:pPr>
        <w:rPr>
          <w:rFonts w:ascii="Palatino Linotype" w:hAnsi="Palatino Linotype"/>
          <w:lang w:val="en-US"/>
        </w:rPr>
      </w:pPr>
      <w:r w:rsidRPr="0053111D">
        <w:rPr>
          <w:rFonts w:ascii="Palatino Linotype" w:hAnsi="Palatino Linotype"/>
          <w:lang w:val="en-US"/>
        </w:rPr>
        <w:t>The views expressed in this document do not reflect the views of BananaIP's clients.</w:t>
      </w:r>
    </w:p>
    <w:p w14:paraId="5F6425E6" w14:textId="659EBB7C" w:rsidR="00903A92" w:rsidRDefault="0053111D">
      <w:r w:rsidRPr="0053111D">
        <w:rPr>
          <w:rFonts w:ascii="Palatino Linotype" w:hAnsi="Palatino Linotype"/>
          <w:lang w:val="en-US"/>
        </w:rPr>
        <w:t>These comments, suggestions, and opinions with respect to the Draft Rules have been submitted with the bona fide and honest intent of aiding the Hon’ble Court.</w:t>
      </w:r>
    </w:p>
    <w:sectPr w:rsidR="00903A92" w:rsidSect="00E873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Segoe UI Historic"/>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9531C"/>
    <w:multiLevelType w:val="hybridMultilevel"/>
    <w:tmpl w:val="5CB64EB0"/>
    <w:lvl w:ilvl="0" w:tplc="947A720C">
      <w:start w:val="1"/>
      <w:numFmt w:val="decimal"/>
      <w:lvlText w:val="%1."/>
      <w:lvlJc w:val="left"/>
      <w:pPr>
        <w:ind w:left="1440" w:hanging="360"/>
      </w:pPr>
      <w:rPr>
        <w:rFonts w:ascii="Palatino" w:eastAsia="Palatino Linotype" w:hAnsi="Palatino" w:cs="Palatino Linotyp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92A7474"/>
    <w:multiLevelType w:val="hybridMultilevel"/>
    <w:tmpl w:val="22DE111C"/>
    <w:lvl w:ilvl="0" w:tplc="AE00B082">
      <w:start w:val="1"/>
      <w:numFmt w:val="upperRoman"/>
      <w:pStyle w:val="Heading3"/>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FAF1463"/>
    <w:multiLevelType w:val="hybridMultilevel"/>
    <w:tmpl w:val="9DB22628"/>
    <w:lvl w:ilvl="0" w:tplc="3DCE62DA">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EC1092"/>
    <w:multiLevelType w:val="hybridMultilevel"/>
    <w:tmpl w:val="95160BA0"/>
    <w:lvl w:ilvl="0" w:tplc="C5504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5311AD"/>
    <w:multiLevelType w:val="hybridMultilevel"/>
    <w:tmpl w:val="0434B2FA"/>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60427628">
    <w:abstractNumId w:val="1"/>
  </w:num>
  <w:num w:numId="2" w16cid:durableId="1316445697">
    <w:abstractNumId w:val="4"/>
  </w:num>
  <w:num w:numId="3" w16cid:durableId="1067192236">
    <w:abstractNumId w:val="0"/>
  </w:num>
  <w:num w:numId="4" w16cid:durableId="1663192574">
    <w:abstractNumId w:val="3"/>
  </w:num>
  <w:num w:numId="5" w16cid:durableId="1573273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0NzU2MDE2MTG1NDdU0lEKTi0uzszPAykwrAUALml+XSwAAAA="/>
  </w:docVars>
  <w:rsids>
    <w:rsidRoot w:val="00603257"/>
    <w:rsid w:val="0013536A"/>
    <w:rsid w:val="001C5A12"/>
    <w:rsid w:val="0053111D"/>
    <w:rsid w:val="00603257"/>
    <w:rsid w:val="00903A92"/>
    <w:rsid w:val="00E8732A"/>
    <w:rsid w:val="00FA6B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143D"/>
  <w15:chartTrackingRefBased/>
  <w15:docId w15:val="{95869793-05EB-4545-BB78-A3D04629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257"/>
    <w:pPr>
      <w:spacing w:after="160" w:line="360" w:lineRule="auto"/>
      <w:jc w:val="both"/>
    </w:pPr>
    <w:rPr>
      <w:rFonts w:ascii="Palatino" w:hAnsi="Palatino"/>
      <w:kern w:val="2"/>
      <w:sz w:val="22"/>
      <w:szCs w:val="22"/>
      <w:lang w:val="en-GB"/>
      <w14:ligatures w14:val="standardContextual"/>
    </w:rPr>
  </w:style>
  <w:style w:type="paragraph" w:styleId="Heading1">
    <w:name w:val="heading 1"/>
    <w:basedOn w:val="Normal"/>
    <w:next w:val="Normal"/>
    <w:link w:val="Heading1Char"/>
    <w:uiPriority w:val="9"/>
    <w:qFormat/>
    <w:rsid w:val="0013536A"/>
    <w:pPr>
      <w:keepNext/>
      <w:keepLines/>
      <w:spacing w:before="240"/>
      <w:jc w:val="center"/>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603257"/>
    <w:pPr>
      <w:pBdr>
        <w:bottom w:val="single" w:sz="2" w:space="1" w:color="auto"/>
      </w:pBdr>
      <w:outlineLvl w:val="1"/>
    </w:pPr>
    <w:rPr>
      <w:rFonts w:eastAsia="Palatino Linotype" w:cs="Palatino Linotype"/>
      <w:b/>
      <w:bCs/>
      <w:smallCaps/>
      <w:color w:val="000000" w:themeColor="text1"/>
    </w:rPr>
  </w:style>
  <w:style w:type="paragraph" w:styleId="Heading3">
    <w:name w:val="heading 3"/>
    <w:basedOn w:val="ListParagraph"/>
    <w:next w:val="Normal"/>
    <w:link w:val="Heading3Char"/>
    <w:uiPriority w:val="9"/>
    <w:unhideWhenUsed/>
    <w:qFormat/>
    <w:rsid w:val="00603257"/>
    <w:pPr>
      <w:numPr>
        <w:numId w:val="1"/>
      </w:numPr>
      <w:outlineLvl w:val="2"/>
    </w:pPr>
    <w:rPr>
      <w:rFonts w:ascii="Palatino Linotype" w:hAnsi="Palatino Linotype"/>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36A"/>
    <w:rPr>
      <w:rFonts w:ascii="Palatino" w:eastAsiaTheme="majorEastAsia" w:hAnsi="Palatino" w:cstheme="majorBidi"/>
      <w:b/>
      <w:sz w:val="28"/>
      <w:szCs w:val="32"/>
      <w:u w:val="single"/>
      <w:lang w:val="en-GB"/>
    </w:rPr>
  </w:style>
  <w:style w:type="character" w:customStyle="1" w:styleId="Heading2Char">
    <w:name w:val="Heading 2 Char"/>
    <w:basedOn w:val="DefaultParagraphFont"/>
    <w:link w:val="Heading2"/>
    <w:uiPriority w:val="9"/>
    <w:rsid w:val="00603257"/>
    <w:rPr>
      <w:rFonts w:ascii="Palatino" w:eastAsia="Palatino Linotype" w:hAnsi="Palatino" w:cs="Palatino Linotype"/>
      <w:b/>
      <w:bCs/>
      <w:smallCaps/>
      <w:color w:val="000000" w:themeColor="text1"/>
      <w:kern w:val="2"/>
      <w:sz w:val="22"/>
      <w:szCs w:val="22"/>
      <w:lang w:val="en-GB"/>
      <w14:ligatures w14:val="standardContextual"/>
    </w:rPr>
  </w:style>
  <w:style w:type="character" w:customStyle="1" w:styleId="Heading3Char">
    <w:name w:val="Heading 3 Char"/>
    <w:basedOn w:val="DefaultParagraphFont"/>
    <w:link w:val="Heading3"/>
    <w:uiPriority w:val="9"/>
    <w:rsid w:val="00603257"/>
    <w:rPr>
      <w:rFonts w:ascii="Palatino Linotype" w:hAnsi="Palatino Linotype"/>
      <w:b/>
      <w:kern w:val="2"/>
      <w:sz w:val="22"/>
      <w:szCs w:val="22"/>
      <w:lang w:val="en-US"/>
      <w14:ligatures w14:val="standardContextual"/>
    </w:rPr>
  </w:style>
  <w:style w:type="paragraph" w:styleId="ListParagraph">
    <w:name w:val="List Paragraph"/>
    <w:basedOn w:val="Normal"/>
    <w:uiPriority w:val="34"/>
    <w:qFormat/>
    <w:rsid w:val="00603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BananaIP</dc:creator>
  <cp:keywords/>
  <dc:description/>
  <cp:lastModifiedBy>Rakesh Krishnan</cp:lastModifiedBy>
  <cp:revision>3</cp:revision>
  <dcterms:created xsi:type="dcterms:W3CDTF">2024-01-08T05:17:00Z</dcterms:created>
  <dcterms:modified xsi:type="dcterms:W3CDTF">2024-01-08T08:20:00Z</dcterms:modified>
</cp:coreProperties>
</file>