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jc w:val="center"/>
      </w:pPr>
      <w:r>
        <w:t xml:space="preserve">Guidelines for the Use of Artificial Intelligence in Patent Examination Procedures</w:t>
      </w:r>
    </w:p>
    <w:p>
      <w:pPr>
        <w:spacing w:after="100"/>
        <w:jc w:val="center"/>
      </w:pPr>
      <w:r>
        <w:rPr>
          <w:b/>
          <w:bCs/>
        </w:rPr>
        <w:t xml:space="preserve">Government of India</w:t>
      </w:r>
    </w:p>
    <w:p>
      <w:pPr>
        <w:spacing w:after="100"/>
        <w:jc w:val="center"/>
      </w:pPr>
      <w:r>
        <w:t xml:space="preserve">Intellectual Property India</w:t>
      </w:r>
    </w:p>
    <w:p>
      <w:pPr>
        <w:spacing w:after="100"/>
        <w:jc w:val="center"/>
      </w:pPr>
      <w:r>
        <w:t xml:space="preserve">Office of the Controller General of Patents, Designs and Trade Marks (CGPDTM)</w:t>
      </w:r>
    </w:p>
    <w:p>
      <w:pPr>
        <w:spacing w:after="400"/>
        <w:jc w:val="center"/>
      </w:pPr>
      <w:r>
        <w:rPr>
          <w:i/>
          <w:iCs/>
        </w:rPr>
        <w:t xml:space="preserve">Quality • Integrity • Accountability</w:t>
      </w:r>
    </w:p>
    <w:p>
      <w:pPr>
        <w:spacing w:after="200"/>
      </w:pPr>
      <w:r>
        <w:rPr>
          <w:i/>
          <w:iCs/>
        </w:rPr>
        <w:t xml:space="preserve">Accessibility note: This Word document was produced from the source PDF for use with screen readers such as JAWS and VoiceOver. Decorative illustrations and infographics that repeated information already given in the body text have been omitted. All headings, tables and lists are tagged for navigation. Where a source table's original column layout could not be reconstructed with confidence from the extracted text, this is noted at that location, with a recommendation to verify against the original PDF.</w:t>
      </w:r>
    </w:p>
    <w:p>
      <w:r>
        <w:br w:type="page"/>
      </w:r>
    </w:p>
    <w:p>
      <w:pPr>
        <w:pStyle w:val="Heading1"/>
      </w:pPr>
      <w:r>
        <w:t xml:space="preserve">Contents</w:t>
      </w:r>
    </w:p>
    <w:p>
      <w:pPr>
        <w:pStyle w:val="ListParagraph"/>
        <w:numPr>
          <w:ilvl w:val="0"/>
          <w:numId w:val="2"/>
        </w:numPr>
        <w:spacing w:after="100"/>
      </w:pPr>
      <w:r>
        <w:t xml:space="preserve">1. Introduction (1.1 Overview, 1.2 Objective, 1.3 Scope)</w:t>
      </w:r>
    </w:p>
    <w:p>
      <w:pPr>
        <w:pStyle w:val="ListParagraph"/>
        <w:numPr>
          <w:ilvl w:val="0"/>
          <w:numId w:val="2"/>
        </w:numPr>
        <w:spacing w:after="100"/>
      </w:pPr>
      <w:r>
        <w:t xml:space="preserve">2. Terminologies</w:t>
      </w:r>
    </w:p>
    <w:p>
      <w:pPr>
        <w:pStyle w:val="ListParagraph"/>
        <w:numPr>
          <w:ilvl w:val="0"/>
          <w:numId w:val="2"/>
        </w:numPr>
        <w:spacing w:after="100"/>
      </w:pPr>
      <w:r>
        <w:t xml:space="preserve">3. Limitations and risks while using AI tools and the need for human oversight</w:t>
      </w:r>
    </w:p>
    <w:p>
      <w:pPr>
        <w:pStyle w:val="ListParagraph"/>
        <w:numPr>
          <w:ilvl w:val="0"/>
          <w:numId w:val="2"/>
        </w:numPr>
        <w:spacing w:after="100"/>
      </w:pPr>
      <w:r>
        <w:t xml:space="preserve">4. Typical uses of AI in patent examination, potential risks and associated safeguards</w:t>
      </w:r>
    </w:p>
    <w:p>
      <w:pPr>
        <w:pStyle w:val="ListParagraph"/>
        <w:numPr>
          <w:ilvl w:val="0"/>
          <w:numId w:val="2"/>
        </w:numPr>
        <w:spacing w:after="100"/>
      </w:pPr>
      <w:r>
        <w:t xml:space="preserve">5. Prohibited Uses</w:t>
      </w:r>
    </w:p>
    <w:p>
      <w:pPr>
        <w:pStyle w:val="ListParagraph"/>
        <w:numPr>
          <w:ilvl w:val="0"/>
          <w:numId w:val="2"/>
        </w:numPr>
        <w:spacing w:after="100"/>
      </w:pPr>
      <w:r>
        <w:t xml:space="preserve">6. Administrative Measures</w:t>
      </w:r>
    </w:p>
    <w:p>
      <w:pPr>
        <w:pStyle w:val="ListParagraph"/>
        <w:numPr>
          <w:ilvl w:val="0"/>
          <w:numId w:val="2"/>
        </w:numPr>
        <w:spacing w:after="100"/>
      </w:pPr>
      <w:r>
        <w:t xml:space="preserve">Annexure-I: Illustrative Examples of Use of Artificial Intelligence in Patent Examination</w:t>
      </w:r>
    </w:p>
    <w:p>
      <w:pPr>
        <w:pStyle w:val="ListParagraph"/>
        <w:numPr>
          <w:ilvl w:val="0"/>
          <w:numId w:val="2"/>
        </w:numPr>
        <w:spacing w:after="100"/>
      </w:pPr>
      <w:r>
        <w:t xml:space="preserve">Annexure-II: Checklist and Declaration</w:t>
      </w:r>
    </w:p>
    <w:p>
      <w:r>
        <w:br w:type="page"/>
      </w:r>
    </w:p>
    <w:p>
      <w:pPr>
        <w:pStyle w:val="Heading1"/>
      </w:pPr>
      <w:r>
        <w:t xml:space="preserve">1. Introduction</w:t>
      </w:r>
    </w:p>
    <w:p>
      <w:pPr>
        <w:pStyle w:val="Heading2"/>
      </w:pPr>
      <w:r>
        <w:t xml:space="preserve">1.1 Overview</w:t>
      </w:r>
    </w:p>
    <w:p>
      <w:pPr>
        <w:spacing w:after="200"/>
      </w:pPr>
      <w:r>
        <w:rPr>
          <w:b w:val="false"/>
          <w:bCs w:val="false"/>
          <w:i w:val="false"/>
          <w:iCs w:val="false"/>
        </w:rPr>
        <w:t xml:space="preserve">Artificial Intelligence (AI) is a machine-based system that can generate outputs such as predictions, content, recommendations, or decisions on the basis of input data and prompts. Generative Artificial Intelligence (GenAI) is a type of AI that generates new content, such as text, images, audio, or video, by learning patterns from input data.</w:t>
      </w:r>
    </w:p>
    <w:p>
      <w:pPr>
        <w:spacing w:after="200"/>
      </w:pPr>
      <w:r>
        <w:rPr>
          <w:b w:val="false"/>
          <w:bCs w:val="false"/>
          <w:i w:val="false"/>
          <w:iCs w:val="false"/>
        </w:rPr>
        <w:t xml:space="preserve">With the rapid growth in the use of generative tools across different fields, it has become necessary to consider their use in patent examination as well. Patent examination is document-intensive, technically complex, legally evolving and time-sensitive. Scholarly work in the patent field shows that such tools can assist in suggesting search terms, retrieving and ranking relevant documents, visualizing content, and reducing the time and cost of screening large numbers of patents. More recent work has also begun to examine their use in novelty analysis.</w:t>
      </w:r>
    </w:p>
    <w:p>
      <w:pPr>
        <w:spacing w:after="200"/>
      </w:pPr>
      <w:r>
        <w:rPr>
          <w:b w:val="false"/>
          <w:bCs w:val="false"/>
          <w:i w:val="false"/>
          <w:iCs w:val="false"/>
        </w:rPr>
        <w:t xml:space="preserve">Various policy documents issued by the Government of India (including the NITI Aayog Responsible AI #AIFORALL Approach Document, Parts 1 and 2) support a structured and responsible approach to the use of AI technology in public functions. These documents recognise its utility in improving efficiency and public service delivery, while emphasising human oversight, accountability, safety, transparency, privacy, risk-based governance, and institutional safeguards.</w:t>
      </w:r>
    </w:p>
    <w:p>
      <w:pPr>
        <w:spacing w:after="200"/>
      </w:pPr>
      <w:r>
        <w:rPr>
          <w:b w:val="false"/>
          <w:bCs w:val="false"/>
          <w:i w:val="false"/>
          <w:iCs w:val="false"/>
        </w:rPr>
        <w:t xml:space="preserve">It is in this background that the present Guidelines have been prepared. The purpose is to identify how the benefits of such tools may be appropriately used in patent examination procedures, while ensuring that the technical, statutory, and quasi-judicial functions of the Examiner and Controller do not get compromised or fail to achieve the intended results.</w:t>
      </w:r>
    </w:p>
    <w:p>
      <w:pPr>
        <w:spacing w:after="200"/>
      </w:pPr>
      <w:r>
        <w:rPr>
          <w:b w:val="false"/>
          <w:bCs w:val="false"/>
          <w:i w:val="false"/>
          <w:iCs w:val="false"/>
        </w:rPr>
        <w:t xml:space="preserve">A non-exhaustive list of illustrative examples for different use-cases in these Guidelines was prepared with the aid of certain public Generative AI tools and certain private tools accessible to the Patent Office and is given in Annexure-I. Since such tools are proprietary in nature, they have not been specifically identified in these Guidelines. As the technology continues to evolve rapidly, these Guidelines may require revision from time to time in light of further developments.</w:t>
      </w:r>
    </w:p>
    <w:p>
      <w:pPr>
        <w:pStyle w:val="Heading2"/>
      </w:pPr>
      <w:r>
        <w:t xml:space="preserve">1.2 Objective</w:t>
      </w:r>
    </w:p>
    <w:p>
      <w:pPr>
        <w:spacing w:after="200"/>
      </w:pPr>
      <w:r>
        <w:rPr>
          <w:b w:val="false"/>
          <w:bCs w:val="false"/>
          <w:i w:val="false"/>
          <w:iCs w:val="false"/>
        </w:rPr>
        <w:t xml:space="preserve">These Guidelines are intended to guide and regulate the use of Artificial Intelligence in Patent examination in a manner that supports efficiency and quality, while preserving confidentiality, accountability, consistency and the independent application of mind by the Examiner or Controller.</w:t>
      </w:r>
    </w:p>
    <w:p>
      <w:pPr>
        <w:pStyle w:val="Heading2"/>
      </w:pPr>
      <w:r>
        <w:t xml:space="preserve">1.3 Scope</w:t>
      </w:r>
    </w:p>
    <w:p>
      <w:pPr>
        <w:spacing w:after="200"/>
      </w:pPr>
      <w:r>
        <w:rPr>
          <w:b w:val="false"/>
          <w:bCs w:val="false"/>
          <w:i w:val="false"/>
          <w:iCs w:val="false"/>
        </w:rPr>
        <w:t xml:space="preserve">These Guidelines shall apply to the use of Artificial Intelligence in Patent examination tasks such as screening, classification, search, translation support, drafting support, technical comparison or knowledge retrieval.</w:t>
      </w:r>
    </w:p>
    <w:p>
      <w:pPr>
        <w:pStyle w:val="Heading1"/>
      </w:pPr>
      <w:r>
        <w:t xml:space="preserve">2. Terminologies</w:t>
      </w:r>
    </w:p>
    <w:p>
      <w:pPr>
        <w:pStyle w:val="Heading3"/>
      </w:pPr>
      <w:r>
        <w:t xml:space="preserve">2.1 Artificial Intelligence (AI)</w:t>
      </w:r>
    </w:p>
    <w:p>
      <w:pPr>
        <w:spacing w:after="200"/>
      </w:pPr>
      <w:r>
        <w:rPr>
          <w:b w:val="false"/>
          <w:bCs w:val="false"/>
          <w:i w:val="false"/>
          <w:iCs w:val="false"/>
        </w:rPr>
        <w:t xml:space="preserve">Artificial Intelligence means a machine-based system capable of generating outputs such as predictions, recommendations, classifications, summaries, or content on the basis of input data along with prompts.</w:t>
      </w:r>
    </w:p>
    <w:p>
      <w:pPr>
        <w:pStyle w:val="Heading3"/>
      </w:pPr>
      <w:r>
        <w:t xml:space="preserve">2.2 AI prompt</w:t>
      </w:r>
    </w:p>
    <w:p>
      <w:pPr>
        <w:spacing w:after="200"/>
      </w:pPr>
      <w:r>
        <w:rPr>
          <w:b w:val="false"/>
          <w:bCs w:val="false"/>
          <w:i w:val="false"/>
          <w:iCs w:val="false"/>
        </w:rPr>
        <w:t xml:space="preserve">An AI prompt is a specific text, command, image, or query provided to an artificial intelligence model to guide it in producing a desired output.</w:t>
      </w:r>
    </w:p>
    <w:p>
      <w:pPr>
        <w:pStyle w:val="Heading3"/>
      </w:pPr>
      <w:r>
        <w:t xml:space="preserve">2.3 Generative Artificial Intelligence (Gen AI)</w:t>
      </w:r>
    </w:p>
    <w:p>
      <w:pPr>
        <w:spacing w:after="200"/>
      </w:pPr>
      <w:r>
        <w:rPr>
          <w:b w:val="false"/>
          <w:bCs w:val="false"/>
          <w:i w:val="false"/>
          <w:iCs w:val="false"/>
        </w:rPr>
        <w:t xml:space="preserve">Generative Artificial Intelligence means any Artificial Intelligence system capable of generating text, images, summaries, explanations, or other content in response to prompts or instructions.</w:t>
      </w:r>
    </w:p>
    <w:p>
      <w:pPr>
        <w:pStyle w:val="Heading3"/>
      </w:pPr>
      <w:r>
        <w:t xml:space="preserve">2.4 AI tool</w:t>
      </w:r>
    </w:p>
    <w:p>
      <w:pPr>
        <w:spacing w:after="200"/>
      </w:pPr>
      <w:r>
        <w:rPr>
          <w:b w:val="false"/>
          <w:bCs w:val="false"/>
          <w:i w:val="false"/>
          <w:iCs w:val="false"/>
        </w:rPr>
        <w:t xml:space="preserve">An AI tool is specific software leveraging these models to perform tasks. AI tools may be classified into public and private.</w:t>
      </w:r>
    </w:p>
    <w:p>
      <w:pPr>
        <w:pStyle w:val="Heading3"/>
      </w:pPr>
      <w:r>
        <w:t xml:space="preserve">2.5 Public AI tools</w:t>
      </w:r>
    </w:p>
    <w:p>
      <w:pPr>
        <w:spacing w:after="200"/>
      </w:pPr>
      <w:r>
        <w:rPr>
          <w:b w:val="false"/>
          <w:bCs w:val="false"/>
          <w:i w:val="false"/>
          <w:iCs w:val="false"/>
        </w:rPr>
        <w:t xml:space="preserve">An AI tool or application that is accessible to the public through free or commercially available means, including both free-tier and paid versions of consumer-facing AI platforms. Such tools are trained on large and diverse datasets from publicly available sources, including text, images, audio, video, and other digital content. This makes them versatile across many tasks, but it may also limit their depth and reliability in any single specialised domain. The data security features and functional capabilities of the free and the advanced paid versions may differ, and this aspect needs to be kept in view while using Public AI for assistance in patent examination.</w:t>
      </w:r>
    </w:p>
    <w:p>
      <w:pPr>
        <w:pStyle w:val="Heading3"/>
      </w:pPr>
      <w:r>
        <w:t xml:space="preserve">2.6 Private AI tools</w:t>
      </w:r>
    </w:p>
    <w:p>
      <w:pPr>
        <w:spacing w:after="200"/>
      </w:pPr>
      <w:r>
        <w:rPr>
          <w:b w:val="false"/>
          <w:bCs w:val="false"/>
          <w:i w:val="false"/>
          <w:iCs w:val="false"/>
        </w:rPr>
        <w:t xml:space="preserve">Private AI tools refer to artificial intelligence systems operating in closed or restricted environments, often trained on proprietary or controlled datasets. Such systems are typically owned and managed by specific entities who control the data feeding the system and retain the IP of the models involved. The primary characteristic of private AI lies in its exclusivity. These systems limit access, allowing only authorized personnel or entities. They are suitable for processing sensitive data and proprietary information, keeping the system closed with heightened security measures to safeguard against unauthorized access.</w:t>
      </w:r>
    </w:p>
    <w:p>
      <w:pPr>
        <w:pStyle w:val="Heading3"/>
      </w:pPr>
      <w:r>
        <w:t xml:space="preserve">2.7 AI-assisted output</w:t>
      </w:r>
    </w:p>
    <w:p>
      <w:pPr>
        <w:spacing w:after="200"/>
      </w:pPr>
      <w:r>
        <w:rPr>
          <w:b w:val="false"/>
          <w:bCs w:val="false"/>
          <w:i w:val="false"/>
          <w:iCs w:val="false"/>
        </w:rPr>
        <w:t xml:space="preserve">AI-assisted output refers to content, decisions or products generated through a collaborative process where AI tools are used to enhance, speed up or augment human work. Unlike fully automated output generation by AI tools, AI-assisted output involves “human in the loop”, meaning a person provides direction, context, and oversight, ensuring the final result meets specific quality and intended standards.</w:t>
      </w:r>
    </w:p>
    <w:p>
      <w:pPr>
        <w:pStyle w:val="Heading3"/>
      </w:pPr>
      <w:r>
        <w:t xml:space="preserve">2.8 Prompt Engineering</w:t>
      </w:r>
    </w:p>
    <w:p>
      <w:pPr>
        <w:spacing w:after="200"/>
      </w:pPr>
      <w:r>
        <w:rPr>
          <w:b w:val="false"/>
          <w:bCs w:val="false"/>
          <w:i w:val="false"/>
          <w:iCs w:val="false"/>
        </w:rPr>
        <w:t xml:space="preserve">“Prompt engineering is the art and science of designing and optimizing prompts to guide AI models, particularly LLMs, towards generating the desired responses. By carefully crafting prompts, you provide the model with context, instructions and examples that help it understand your intent and respond in a meaningful way. Think of it as providing a roadmap for the AI, steering it towards the specific output you have in mind.” (Source: Prompt Engineering for AI Guide, Google Cloud)</w:t>
      </w:r>
    </w:p>
    <w:p>
      <w:pPr>
        <w:pStyle w:val="Heading1"/>
      </w:pPr>
      <w:r>
        <w:t xml:space="preserve">3. Limitations and risks while using AI tools and the need for human oversight</w:t>
      </w:r>
    </w:p>
    <w:p>
      <w:pPr>
        <w:pStyle w:val="Heading2"/>
      </w:pPr>
      <w:r>
        <w:t xml:space="preserve">3.1 Limitations and Risks</w:t>
      </w:r>
    </w:p>
    <w:p>
      <w:pPr>
        <w:spacing w:after="200"/>
      </w:pPr>
      <w:r>
        <w:rPr>
          <w:b w:val="false"/>
          <w:bCs w:val="false"/>
          <w:i w:val="false"/>
          <w:iCs w:val="false"/>
        </w:rPr>
        <w:t xml:space="preserve">Common ways in which Artificial Intelligence may make mistakes are given below. These emphasize the need for thorough human oversight. The following are not exhaustive as AI is fast evolving and new risks are also identified during the process.</w:t>
      </w:r>
    </w:p>
    <w:p>
      <w:pPr>
        <w:pStyle w:val="Heading3"/>
      </w:pPr>
      <w:r>
        <w:t xml:space="preserve">3.1.1 Profile Sensitivity</w:t>
      </w:r>
    </w:p>
    <w:p>
      <w:pPr>
        <w:spacing w:after="200"/>
      </w:pPr>
      <w:r>
        <w:rPr>
          <w:b w:val="false"/>
          <w:bCs w:val="false"/>
          <w:i w:val="false"/>
          <w:iCs w:val="false"/>
        </w:rPr>
        <w:t xml:space="preserve">The output of AI tools may be influenced by prior interactions, past prompts or user-specific contextual patterns. This may result in responses being shaped not only by the immediate prompt, but also by the user’s earlier usage history. Such profiling may affect the veracity, neutrality, consistency and predictability of the output and should therefore be kept in mind while using AI tools for official work. Accordingly, the output must be independently assessed.</w:t>
      </w:r>
    </w:p>
    <w:p>
      <w:pPr>
        <w:pStyle w:val="Heading3"/>
      </w:pPr>
      <w:r>
        <w:t xml:space="preserve">3.1.2 Prompt Discipline</w:t>
      </w:r>
    </w:p>
    <w:p>
      <w:pPr>
        <w:spacing w:after="200"/>
      </w:pPr>
      <w:r>
        <w:rPr>
          <w:b w:val="false"/>
          <w:bCs w:val="false"/>
          <w:i w:val="false"/>
          <w:iCs w:val="false"/>
        </w:rPr>
        <w:t xml:space="preserve">Apart from such profiling-related influence, the quality, relevance and direction of AI-generated output are also materially shaped by the way in which the prompt is framed. Prompt discipline means the careful and structured framing of prompts so that the request made to an AI tool is clear, precise, relevant and limited to the intended purpose. It involves defining the task properly, providing the necessary context, specifying the expected form of output where required, and avoiding unnecessary misleading content. For example, a vague prompt such as “analyse this patent claim” may produce a broad or unfocused response, whereas a more disciplined prompt such as “identify the key technical features of this claim and generate possible search terms for prior-art search” is more likely to produce a controlled and useful output.</w:t>
      </w:r>
    </w:p>
    <w:p>
      <w:pPr>
        <w:pStyle w:val="Heading3"/>
      </w:pPr>
      <w:r>
        <w:t xml:space="preserve">3.1.3 Hallucination or Fabrication</w:t>
      </w:r>
    </w:p>
    <w:p>
      <w:pPr>
        <w:spacing w:after="200"/>
      </w:pPr>
      <w:r>
        <w:rPr>
          <w:b w:val="false"/>
          <w:bCs w:val="false"/>
          <w:i w:val="false"/>
          <w:iCs w:val="false"/>
        </w:rPr>
        <w:t xml:space="preserve">The AI tools may present a confident but unsupported statement, citation, explanation, or mapping. Such hallucinations may be extrinsic or intrinsic: an extrinsic hallucination occurs when the AI tool generates information that is not present in the provided context, fabricating facts to fill a knowledge gap; an intrinsic hallucination occurs where the AI tool is given specific source documents or context in the prompt, but its output contradicts, distorts or misrepresents that provided information. In the context of patents, hallucinations may include non-existent prior art, fabricated judgments, or contradicting claims and scope. Any resource cited by AI shall be cross-checked from authorised sources, such as the original publisher, or by conducting a fresh internet search, to avoid the risk of adopting a citation that does not exist in reality. This is particularly important for judicial precedents, since AI may misread the ratio, overstate the principle laid down, or apply it incorrectly to a different factual situation.</w:t>
      </w:r>
    </w:p>
    <w:p>
      <w:pPr>
        <w:pStyle w:val="Heading3"/>
      </w:pPr>
      <w:r>
        <w:t xml:space="preserve">3.1.4 Omission of Critical Detail</w:t>
      </w:r>
    </w:p>
    <w:p>
      <w:pPr>
        <w:spacing w:after="200"/>
      </w:pPr>
      <w:r>
        <w:rPr>
          <w:b w:val="false"/>
          <w:bCs w:val="false"/>
          <w:i w:val="false"/>
          <w:iCs w:val="false"/>
        </w:rPr>
        <w:t xml:space="preserve">The AI tool may miss a limiting claim feature, an amendment, a disclaimer, a qualifier or a technical relationship.</w:t>
      </w:r>
    </w:p>
    <w:p>
      <w:pPr>
        <w:pStyle w:val="Heading3"/>
      </w:pPr>
      <w:r>
        <w:t xml:space="preserve">3.1.5 False Pattern Matching</w:t>
      </w:r>
    </w:p>
    <w:p>
      <w:pPr>
        <w:spacing w:after="200"/>
      </w:pPr>
      <w:r>
        <w:rPr>
          <w:b w:val="false"/>
          <w:bCs w:val="false"/>
          <w:i w:val="false"/>
          <w:iCs w:val="false"/>
        </w:rPr>
        <w:t xml:space="preserve">The AI tool may identify surface similarity and overlook legal or technical differences that matter. A document may appear relevant based on keywords or semantic similarity while being legally or technically irrelevant to the claim under examination.</w:t>
      </w:r>
    </w:p>
    <w:p>
      <w:pPr>
        <w:pStyle w:val="Heading3"/>
      </w:pPr>
      <w:r>
        <w:t xml:space="preserve">3.1.6 Loss of Technical Context</w:t>
      </w:r>
    </w:p>
    <w:p>
      <w:pPr>
        <w:spacing w:after="200"/>
      </w:pPr>
      <w:r>
        <w:rPr>
          <w:b w:val="false"/>
          <w:bCs w:val="false"/>
          <w:i w:val="false"/>
          <w:iCs w:val="false"/>
        </w:rPr>
        <w:t xml:space="preserve">The AI tool may summarise or translate a passage without preserving its exact technical meaning.</w:t>
      </w:r>
    </w:p>
    <w:p>
      <w:pPr>
        <w:pStyle w:val="Heading3"/>
      </w:pPr>
      <w:r>
        <w:t xml:space="preserve">3.1.7 Classification and Search Drift</w:t>
      </w:r>
    </w:p>
    <w:p>
      <w:pPr>
        <w:spacing w:after="200"/>
      </w:pPr>
      <w:r>
        <w:rPr>
          <w:b w:val="false"/>
          <w:bCs w:val="false"/>
          <w:i w:val="false"/>
          <w:iCs w:val="false"/>
        </w:rPr>
        <w:t xml:space="preserve">AI may suggest classifications that are broader than warranted, or search terms that introduce large amounts of irrelevant prior art, diverting the examination from the correct technical field. Classification and search term outputs are sensitive to the model used, the prompt framing, and the conditioning parameters.</w:t>
      </w:r>
    </w:p>
    <w:p>
      <w:pPr>
        <w:pStyle w:val="Heading3"/>
      </w:pPr>
      <w:r>
        <w:t xml:space="preserve">3.1.8 Over-breadth or Over-narrowness</w:t>
      </w:r>
    </w:p>
    <w:p>
      <w:pPr>
        <w:spacing w:after="200"/>
      </w:pPr>
      <w:r>
        <w:rPr>
          <w:b w:val="false"/>
          <w:bCs w:val="false"/>
          <w:i w:val="false"/>
          <w:iCs w:val="false"/>
        </w:rPr>
        <w:t xml:space="preserve">The AI tool may expand a concept too widely or interpret it too narrowly, thereby distorting search or classification.</w:t>
      </w:r>
    </w:p>
    <w:p>
      <w:pPr>
        <w:pStyle w:val="Heading3"/>
      </w:pPr>
      <w:r>
        <w:t xml:space="preserve">3.1.9 Black-box Opacity</w:t>
      </w:r>
    </w:p>
    <w:p>
      <w:pPr>
        <w:spacing w:after="200"/>
      </w:pPr>
      <w:r>
        <w:rPr>
          <w:b w:val="false"/>
          <w:bCs w:val="false"/>
          <w:i w:val="false"/>
          <w:iCs w:val="false"/>
        </w:rPr>
        <w:t xml:space="preserve">The officer may not know why a particular suggestion was made, which makes verification and accountability more difficult.</w:t>
      </w:r>
    </w:p>
    <w:p>
      <w:pPr>
        <w:pStyle w:val="Heading3"/>
      </w:pPr>
      <w:r>
        <w:t xml:space="preserve">3.1.10 Confidentiality Risk</w:t>
      </w:r>
    </w:p>
    <w:p>
      <w:pPr>
        <w:spacing w:after="200"/>
      </w:pPr>
      <w:r>
        <w:rPr>
          <w:b w:val="false"/>
          <w:bCs w:val="false"/>
          <w:i w:val="false"/>
          <w:iCs w:val="false"/>
        </w:rPr>
        <w:t xml:space="preserve">The convenience of an external tool may lead to improper sharing of unpublished or internal material.</w:t>
      </w:r>
    </w:p>
    <w:p>
      <w:pPr>
        <w:pStyle w:val="Heading3"/>
      </w:pPr>
      <w:r>
        <w:t xml:space="preserve">3.1.11 Misguidance</w:t>
      </w:r>
    </w:p>
    <w:p>
      <w:pPr>
        <w:spacing w:after="200"/>
      </w:pPr>
      <w:r>
        <w:rPr>
          <w:b w:val="false"/>
          <w:bCs w:val="false"/>
          <w:i w:val="false"/>
          <w:iCs w:val="false"/>
        </w:rPr>
        <w:t xml:space="preserve">Even where the output is not wholly fabricated, the system may still guide the user in a wrong direction by suggesting an unsuitable classification path, an irrelevant search approach, a weak comparison, or an unsound line of reasoning. Such misguidance may be particularly difficult to detect where the output appears fluent, structured, and persuasive.</w:t>
      </w:r>
    </w:p>
    <w:p>
      <w:pPr>
        <w:pStyle w:val="Heading3"/>
      </w:pPr>
      <w:r>
        <w:t xml:space="preserve">3.1.12 Incomplete or Outdated Data</w:t>
      </w:r>
    </w:p>
    <w:p>
      <w:pPr>
        <w:spacing w:after="200"/>
      </w:pPr>
      <w:r>
        <w:rPr>
          <w:b w:val="false"/>
          <w:bCs w:val="false"/>
          <w:i w:val="false"/>
          <w:iCs w:val="false"/>
        </w:rPr>
        <w:t xml:space="preserve">AI tools often suffer from incomplete data coverage and outdated knowledge bases. They lack real-time access to all major patent databases, non-patent literature (NPL), and very recent publications, and their training data cut-off dates prevent awareness of the latest prior art and legal developments. They also have limited capability to seamlessly integrate heterogeneous databases with differing formats and quality standards.</w:t>
      </w:r>
    </w:p>
    <w:p>
      <w:pPr>
        <w:pStyle w:val="Heading3"/>
      </w:pPr>
      <w:r>
        <w:t xml:space="preserve">3.1.13 Bias in Training Data and Results</w:t>
      </w:r>
    </w:p>
    <w:p>
      <w:pPr>
        <w:spacing w:after="200"/>
      </w:pPr>
      <w:r>
        <w:rPr>
          <w:b w:val="false"/>
          <w:bCs w:val="false"/>
          <w:i w:val="false"/>
          <w:iCs w:val="false"/>
        </w:rPr>
        <w:t xml:space="preserve">AI systems inherently reflect biases present in their training data, which can lead to over-representation or under-representation of certain jurisdictions, technologies, languages, or inventors. Search algorithms may accordingly exhibit systematic blind spots, disproportionately favouring specific patterns, sources, or technical fields while neglecting others.</w:t>
      </w:r>
    </w:p>
    <w:p>
      <w:pPr>
        <w:pStyle w:val="Heading3"/>
      </w:pPr>
      <w:r>
        <w:t xml:space="preserve">3.1.14 Difficulty with Complex Patent Language and Nuances</w:t>
      </w:r>
    </w:p>
    <w:p>
      <w:pPr>
        <w:spacing w:after="200"/>
      </w:pPr>
      <w:r>
        <w:rPr>
          <w:b w:val="false"/>
          <w:bCs w:val="false"/>
          <w:i w:val="false"/>
          <w:iCs w:val="false"/>
        </w:rPr>
        <w:t xml:space="preserve">AI tools frequently misinterpret the highly specialized legal, technical, and procedural language used in patent claims and specifications. They also have limited ability to properly understand patent drawings, flowcharts, graphs, and other visual components of patent documents, and they struggle with contextual nuances, jurisdictional differences, and dynamic legal concepts such as claim construction, enablement, and inventive step.</w:t>
      </w:r>
    </w:p>
    <w:p>
      <w:pPr>
        <w:pStyle w:val="Heading2"/>
      </w:pPr>
      <w:r>
        <w:t xml:space="preserve">3.2 Need for human oversight</w:t>
      </w:r>
    </w:p>
    <w:p>
      <w:pPr>
        <w:spacing w:after="200"/>
      </w:pPr>
      <w:r>
        <w:rPr>
          <w:b w:val="false"/>
          <w:bCs w:val="false"/>
          <w:i w:val="false"/>
          <w:iCs w:val="false"/>
        </w:rPr>
        <w:t xml:space="preserve">The Indian policy material on use of Artificial Intelligence repeatedly emphasises the need for human oversight, verification and accountability. Artificial Intelligence is intended to assist, and not replace, the functions or the work of the Examiner or Controller. Any use of Artificial Intelligence that may influence search or examination shall be subject to manual review and validation. The Examiner or Controller shall remain fully responsible for every official act performed in the course of search and examination which involves the use of AI in any manner. The use of AI shall not dilute or transfer such responsibility. Any AI-assisted output used in examination shall be critically reviewed, assessed and adopted only after the officer is personally satisfied as to its correctness, relevance and appropriateness.</w:t>
      </w:r>
    </w:p>
    <w:p>
      <w:pPr>
        <w:pStyle w:val="Heading1"/>
      </w:pPr>
      <w:r>
        <w:t xml:space="preserve">4. Typical uses of AI in patent examination, potential risks and associated safeguards</w:t>
      </w:r>
    </w:p>
    <w:p>
      <w:pPr>
        <w:spacing w:after="200"/>
      </w:pPr>
      <w:r>
        <w:rPr>
          <w:b w:val="false"/>
          <w:bCs w:val="false"/>
          <w:i w:val="false"/>
          <w:iCs w:val="false"/>
        </w:rPr>
        <w:t xml:space="preserve">This section describes how Artificial Intelligence may assist Patent examination, where such use may create risk and what safeguards are necessary. A few examples are provided in Annexure-I to illustrate the benefits and risks. A checklist and declaration are provided in Annexure-II.</w:t>
      </w:r>
    </w:p>
    <w:p>
      <w:pPr>
        <w:spacing w:after="200"/>
      </w:pPr>
      <w:r>
        <w:rPr>
          <w:b w:val="false"/>
          <w:bCs w:val="false"/>
          <w:i w:val="false"/>
          <w:iCs w:val="false"/>
        </w:rPr>
        <w:t xml:space="preserve">The patent search databases subscribed by the Patent Office have in-built AI tools specifically designed for patent search purposes. These private AI tools offer better data security and are better capable of understanding prompts in the patent context.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2050"/>
        <w:gridCol w:w="2200"/>
        <w:gridCol w:w="2900"/>
      </w:tblGrid>
      <w:tr>
        <w:trPr>
          <w:tblHeader/>
        </w:trPr>
        <w:tc>
          <w:tcPr>
            <w:tcW w:type="dxa" w:w="2200"/>
            <w:tcBorders>
              <w:top w:val="single" w:color="999999" w:sz="4"/>
              <w:left w:val="single" w:color="999999" w:sz="4"/>
              <w:bottom w:val="single" w:color="999999" w:sz="4"/>
              <w:right w:val="single" w:color="999999" w:sz="4"/>
            </w:tcBorders>
            <w:shd w:fill="D9E2F3" w:val="clear"/>
          </w:tcPr>
          <w:p>
            <w:r>
              <w:rPr>
                <w:b/>
                <w:bCs/>
              </w:rPr>
              <w:t xml:space="preserve">Type of use</w:t>
            </w:r>
          </w:p>
        </w:tc>
        <w:tc>
          <w:tcPr>
            <w:tcW w:type="dxa" w:w="2050"/>
            <w:tcBorders>
              <w:top w:val="single" w:color="999999" w:sz="4"/>
              <w:left w:val="single" w:color="999999" w:sz="4"/>
              <w:bottom w:val="single" w:color="999999" w:sz="4"/>
              <w:right w:val="single" w:color="999999" w:sz="4"/>
            </w:tcBorders>
            <w:shd w:fill="D9E2F3" w:val="clear"/>
          </w:tcPr>
          <w:p>
            <w:r>
              <w:rPr>
                <w:b/>
                <w:bCs/>
              </w:rPr>
              <w:t xml:space="preserve">Possible benefits</w:t>
            </w:r>
          </w:p>
        </w:tc>
        <w:tc>
          <w:tcPr>
            <w:tcW w:type="dxa" w:w="2200"/>
            <w:tcBorders>
              <w:top w:val="single" w:color="999999" w:sz="4"/>
              <w:left w:val="single" w:color="999999" w:sz="4"/>
              <w:bottom w:val="single" w:color="999999" w:sz="4"/>
              <w:right w:val="single" w:color="999999" w:sz="4"/>
            </w:tcBorders>
            <w:shd w:fill="D9E2F3" w:val="clear"/>
          </w:tcPr>
          <w:p>
            <w:r>
              <w:rPr>
                <w:b/>
                <w:bCs/>
              </w:rPr>
              <w:t xml:space="preserve">Potential risks</w:t>
            </w:r>
          </w:p>
        </w:tc>
        <w:tc>
          <w:tcPr>
            <w:tcW w:type="dxa" w:w="2900"/>
            <w:tcBorders>
              <w:top w:val="single" w:color="999999" w:sz="4"/>
              <w:left w:val="single" w:color="999999" w:sz="4"/>
              <w:bottom w:val="single" w:color="999999" w:sz="4"/>
              <w:right w:val="single" w:color="999999" w:sz="4"/>
            </w:tcBorders>
            <w:shd w:fill="D9E2F3" w:val="clear"/>
          </w:tcPr>
          <w:p>
            <w:r>
              <w:rPr>
                <w:b/>
                <w:bCs/>
              </w:rPr>
              <w:t xml:space="preserve">Safeguards</w:t>
            </w:r>
          </w:p>
        </w:tc>
      </w:tr>
      <w:tr>
        <w:tc>
          <w:tcPr>
            <w:tcW w:type="dxa" w:w="2200"/>
            <w:tcBorders>
              <w:top w:val="single" w:color="999999" w:sz="4"/>
              <w:left w:val="single" w:color="999999" w:sz="4"/>
              <w:bottom w:val="single" w:color="999999" w:sz="4"/>
              <w:right w:val="single" w:color="999999" w:sz="4"/>
            </w:tcBorders>
          </w:tcPr>
          <w:p>
            <w:pPr>
              <w:spacing w:after="60"/>
            </w:pPr>
            <w:r>
              <w:t xml:space="preserve">1. Use of AI for identifying candidate IPC/CPC classifications</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generating relevant IPC/CPC classifications</w:t>
            </w:r>
          </w:p>
        </w:tc>
        <w:tc>
          <w:tcPr>
            <w:tcW w:type="dxa" w:w="2200"/>
            <w:tcBorders>
              <w:top w:val="single" w:color="999999" w:sz="4"/>
              <w:left w:val="single" w:color="999999" w:sz="4"/>
              <w:bottom w:val="single" w:color="999999" w:sz="4"/>
              <w:right w:val="single" w:color="999999" w:sz="4"/>
            </w:tcBorders>
          </w:tcPr>
          <w:p>
            <w:pPr>
              <w:spacing w:after="60"/>
            </w:pPr>
            <w:r>
              <w:t xml:space="preserve">Model-sensitive, erroneous, irrelevant or broader classes may also be suggested by the AI tool which can drift the direction of the search</w:t>
            </w:r>
          </w:p>
        </w:tc>
        <w:tc>
          <w:tcPr>
            <w:tcW w:type="dxa" w:w="2900"/>
            <w:tcBorders>
              <w:top w:val="single" w:color="999999" w:sz="4"/>
              <w:left w:val="single" w:color="999999" w:sz="4"/>
              <w:bottom w:val="single" w:color="999999" w:sz="4"/>
              <w:right w:val="single" w:color="999999" w:sz="4"/>
            </w:tcBorders>
          </w:tcPr>
          <w:p>
            <w:pPr>
              <w:spacing w:after="60"/>
            </w:pPr>
            <w:r>
              <w:t xml:space="preserve">1. Classification shall be checked from an authenticated source, for example, the WIPO-IPC or CPC website.</w:t>
            </w:r>
          </w:p>
          <w:p>
            <w:pPr>
              <w:spacing w:after="60"/>
            </w:pPr>
            <w:r>
              <w:t xml:space="preserve">2. It shall be manually verified with the claims read together with the complete specification.</w:t>
            </w:r>
          </w:p>
          <w:p>
            <w:pPr>
              <w:spacing w:after="60"/>
            </w:pPr>
            <w:r>
              <w:t xml:space="preserve">3. The classification shall be manually adjusted, where necessary, so as to move the search in the right direction and appropriately reflect the invention.</w:t>
            </w:r>
          </w:p>
          <w:p>
            <w:pPr>
              <w:spacing w:after="60"/>
            </w:pPr>
            <w:r>
              <w:t xml:space="preserve">4. The appropriate classification shall be selected having regard to the purpose of the search, which is to ascertain novelty or inventive step.</w:t>
            </w:r>
          </w:p>
        </w:tc>
      </w:tr>
      <w:tr>
        <w:tc>
          <w:tcPr>
            <w:tcW w:type="dxa" w:w="2200"/>
            <w:tcBorders>
              <w:top w:val="single" w:color="999999" w:sz="4"/>
              <w:left w:val="single" w:color="999999" w:sz="4"/>
              <w:bottom w:val="single" w:color="999999" w:sz="4"/>
              <w:right w:val="single" w:color="999999" w:sz="4"/>
            </w:tcBorders>
          </w:tcPr>
          <w:p>
            <w:pPr>
              <w:spacing w:after="60"/>
            </w:pPr>
            <w:r>
              <w:t xml:space="preserve">2. Use of AI for generating search terms and concept clusters</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generating synonyms, related expressions, broader terms, alternative spellings and related technical concepts</w:t>
            </w:r>
          </w:p>
        </w:tc>
        <w:tc>
          <w:tcPr>
            <w:tcW w:type="dxa" w:w="2200"/>
            <w:tcBorders>
              <w:top w:val="single" w:color="999999" w:sz="4"/>
              <w:left w:val="single" w:color="999999" w:sz="4"/>
              <w:bottom w:val="single" w:color="999999" w:sz="4"/>
              <w:right w:val="single" w:color="999999" w:sz="4"/>
            </w:tcBorders>
          </w:tcPr>
          <w:p>
            <w:pPr>
              <w:spacing w:after="60"/>
            </w:pPr>
            <w:r>
              <w:t xml:space="preserve">Model-sensitive; terms may be broader or narrower</w:t>
            </w:r>
          </w:p>
        </w:tc>
        <w:tc>
          <w:tcPr>
            <w:tcW w:type="dxa" w:w="2900"/>
            <w:tcBorders>
              <w:top w:val="single" w:color="999999" w:sz="4"/>
              <w:left w:val="single" w:color="999999" w:sz="4"/>
              <w:bottom w:val="single" w:color="999999" w:sz="4"/>
              <w:right w:val="single" w:color="999999" w:sz="4"/>
            </w:tcBorders>
          </w:tcPr>
          <w:p>
            <w:pPr>
              <w:spacing w:after="60"/>
            </w:pPr>
            <w:r>
              <w:t xml:space="preserve">Officer must determine and select the search terms with complete human oversight, including:</w:t>
            </w:r>
          </w:p>
          <w:p>
            <w:pPr>
              <w:spacing w:after="60"/>
            </w:pPr>
            <w:r>
              <w:t xml:space="preserve">1. which terms remain sufficiently close to the claimed subject matter;</w:t>
            </w:r>
          </w:p>
          <w:p>
            <w:pPr>
              <w:spacing w:after="60"/>
            </w:pPr>
            <w:r>
              <w:t xml:space="preserve">2. which expressions are technically adjacent but legally or functionally different;</w:t>
            </w:r>
          </w:p>
          <w:p>
            <w:pPr>
              <w:spacing w:after="60"/>
            </w:pPr>
            <w:r>
              <w:t xml:space="preserve">3. which broader terms may be used selectively for exploratory search; and</w:t>
            </w:r>
          </w:p>
          <w:p>
            <w:pPr>
              <w:spacing w:after="60"/>
            </w:pPr>
            <w:r>
              <w:t xml:space="preserve">4. which terms may introduce large amounts of irrelevant prior art or move the search into neighbouring but non-relevant technical areas.</w:t>
            </w:r>
          </w:p>
        </w:tc>
      </w:tr>
      <w:tr>
        <w:tc>
          <w:tcPr>
            <w:tcW w:type="dxa" w:w="2200"/>
            <w:tcBorders>
              <w:top w:val="single" w:color="999999" w:sz="4"/>
              <w:left w:val="single" w:color="999999" w:sz="4"/>
              <w:bottom w:val="single" w:color="999999" w:sz="4"/>
              <w:right w:val="single" w:color="999999" w:sz="4"/>
            </w:tcBorders>
          </w:tcPr>
          <w:p>
            <w:pPr>
              <w:spacing w:after="60"/>
            </w:pPr>
            <w:r>
              <w:t xml:space="preserve">3. Use of AI for preliminary claim-feature extraction</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breaking long claims into structured feature lists for comparison</w:t>
            </w:r>
          </w:p>
        </w:tc>
        <w:tc>
          <w:tcPr>
            <w:tcW w:type="dxa" w:w="2200"/>
            <w:tcBorders>
              <w:top w:val="single" w:color="999999" w:sz="4"/>
              <w:left w:val="single" w:color="999999" w:sz="4"/>
              <w:bottom w:val="single" w:color="999999" w:sz="4"/>
              <w:right w:val="single" w:color="999999" w:sz="4"/>
            </w:tcBorders>
          </w:tcPr>
          <w:p>
            <w:pPr>
              <w:spacing w:after="60"/>
            </w:pPr>
            <w:r>
              <w:t xml:space="preserve">Incorrect splitting of claim language, loss of relational phrases, and distortion of novelty or inventive-step analysis</w:t>
            </w:r>
          </w:p>
        </w:tc>
        <w:tc>
          <w:tcPr>
            <w:tcW w:type="dxa" w:w="2900"/>
            <w:tcBorders>
              <w:top w:val="single" w:color="999999" w:sz="4"/>
              <w:left w:val="single" w:color="999999" w:sz="4"/>
              <w:bottom w:val="single" w:color="999999" w:sz="4"/>
              <w:right w:val="single" w:color="999999" w:sz="4"/>
            </w:tcBorders>
          </w:tcPr>
          <w:p>
            <w:pPr>
              <w:spacing w:after="60"/>
            </w:pPr>
            <w:r>
              <w:t xml:space="preserve">1. The claim shall be re-read manually to ensure that extracted features are not split incorrectly or merged improperly.</w:t>
            </w:r>
          </w:p>
          <w:p>
            <w:pPr>
              <w:spacing w:after="60"/>
            </w:pPr>
            <w:r>
              <w:t xml:space="preserve">2. Numerical ranges and dependencies between features shall be verified manually.</w:t>
            </w:r>
          </w:p>
          <w:p>
            <w:pPr>
              <w:spacing w:after="60"/>
            </w:pPr>
            <w:r>
              <w:t xml:space="preserve">3. No search or novelty/inventive-step analysis shall be undertaken on the basis of an unverified AI-generated feature list.</w:t>
            </w:r>
          </w:p>
        </w:tc>
      </w:tr>
      <w:tr>
        <w:tc>
          <w:tcPr>
            <w:tcW w:type="dxa" w:w="2200"/>
            <w:tcBorders>
              <w:top w:val="single" w:color="999999" w:sz="4"/>
              <w:left w:val="single" w:color="999999" w:sz="4"/>
              <w:bottom w:val="single" w:color="999999" w:sz="4"/>
              <w:right w:val="single" w:color="999999" w:sz="4"/>
            </w:tcBorders>
          </w:tcPr>
          <w:p>
            <w:pPr>
              <w:spacing w:after="60"/>
            </w:pPr>
            <w:r>
              <w:t xml:space="preserve">4. Use of AI for translation support</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obtaining a rough understanding of foreign-language documents</w:t>
            </w:r>
          </w:p>
        </w:tc>
        <w:tc>
          <w:tcPr>
            <w:tcW w:type="dxa" w:w="2200"/>
            <w:tcBorders>
              <w:top w:val="single" w:color="999999" w:sz="4"/>
              <w:left w:val="single" w:color="999999" w:sz="4"/>
              <w:bottom w:val="single" w:color="999999" w:sz="4"/>
              <w:right w:val="single" w:color="999999" w:sz="4"/>
            </w:tcBorders>
          </w:tcPr>
          <w:p>
            <w:pPr>
              <w:spacing w:after="60"/>
            </w:pPr>
            <w:r>
              <w:t xml:space="preserve">Loss of technical nuance, mistranslation of key structural or functional terms, and distortion of exact meaning</w:t>
            </w:r>
          </w:p>
        </w:tc>
        <w:tc>
          <w:tcPr>
            <w:tcW w:type="dxa" w:w="2900"/>
            <w:tcBorders>
              <w:top w:val="single" w:color="999999" w:sz="4"/>
              <w:left w:val="single" w:color="999999" w:sz="4"/>
              <w:bottom w:val="single" w:color="999999" w:sz="4"/>
              <w:right w:val="single" w:color="999999" w:sz="4"/>
            </w:tcBorders>
          </w:tcPr>
          <w:p>
            <w:pPr>
              <w:spacing w:after="60"/>
            </w:pPr>
            <w:r>
              <w:t xml:space="preserve">1. The translated text shall be read together with the drawings, figures, or surrounding disclosure where necessary.</w:t>
            </w:r>
          </w:p>
          <w:p>
            <w:pPr>
              <w:spacing w:after="60"/>
            </w:pPr>
            <w:r>
              <w:t xml:space="preserve">2. Where machine translation is relied upon, that fact shall be clearly recorded in the reasoning for patentability.</w:t>
            </w:r>
          </w:p>
        </w:tc>
      </w:tr>
      <w:tr>
        <w:tc>
          <w:tcPr>
            <w:tcW w:type="dxa" w:w="2200"/>
            <w:tcBorders>
              <w:top w:val="single" w:color="999999" w:sz="4"/>
              <w:left w:val="single" w:color="999999" w:sz="4"/>
              <w:bottom w:val="single" w:color="999999" w:sz="4"/>
              <w:right w:val="single" w:color="999999" w:sz="4"/>
            </w:tcBorders>
          </w:tcPr>
          <w:p>
            <w:pPr>
              <w:spacing w:after="60"/>
            </w:pPr>
            <w:r>
              <w:t xml:space="preserve">5. Use of AI for improving the structure or language of a draft office communication</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improving grammar, coherence, formatting, headings, and concise expression</w:t>
            </w:r>
          </w:p>
        </w:tc>
        <w:tc>
          <w:tcPr>
            <w:tcW w:type="dxa" w:w="2200"/>
            <w:tcBorders>
              <w:top w:val="single" w:color="999999" w:sz="4"/>
              <w:left w:val="single" w:color="999999" w:sz="4"/>
              <w:bottom w:val="single" w:color="999999" w:sz="4"/>
              <w:right w:val="single" w:color="999999" w:sz="4"/>
            </w:tcBorders>
          </w:tcPr>
          <w:p>
            <w:pPr>
              <w:spacing w:after="60"/>
            </w:pPr>
            <w:r>
              <w:t xml:space="preserve">Insertion of unsupported statements, distortion of the officer’s reasoning, legally imprecise language, or non-existent citations</w:t>
            </w:r>
          </w:p>
        </w:tc>
        <w:tc>
          <w:tcPr>
            <w:tcW w:type="dxa" w:w="2900"/>
            <w:tcBorders>
              <w:top w:val="single" w:color="999999" w:sz="4"/>
              <w:left w:val="single" w:color="999999" w:sz="4"/>
              <w:bottom w:val="single" w:color="999999" w:sz="4"/>
              <w:right w:val="single" w:color="999999" w:sz="4"/>
            </w:tcBorders>
          </w:tcPr>
          <w:p>
            <w:pPr>
              <w:spacing w:after="60"/>
            </w:pPr>
            <w:r>
              <w:t xml:space="preserve">1. AI may be used only after the officer has prepared the substantive draft or reasoning.</w:t>
            </w:r>
          </w:p>
          <w:p>
            <w:pPr>
              <w:spacing w:after="60"/>
            </w:pPr>
            <w:r>
              <w:t xml:space="preserve">2. The use shall be limited to grammar and readability.</w:t>
            </w:r>
          </w:p>
          <w:p>
            <w:pPr>
              <w:spacing w:after="60"/>
            </w:pPr>
            <w:r>
              <w:t xml:space="preserve">3. Every statement in the revised draft shall be checked thoroughly.</w:t>
            </w:r>
          </w:p>
        </w:tc>
      </w:tr>
      <w:tr>
        <w:tc>
          <w:tcPr>
            <w:tcW w:type="dxa" w:w="2200"/>
            <w:tcBorders>
              <w:top w:val="single" w:color="999999" w:sz="4"/>
              <w:left w:val="single" w:color="999999" w:sz="4"/>
              <w:bottom w:val="single" w:color="999999" w:sz="4"/>
              <w:right w:val="single" w:color="999999" w:sz="4"/>
            </w:tcBorders>
          </w:tcPr>
          <w:p>
            <w:pPr>
              <w:spacing w:after="60"/>
            </w:pPr>
            <w:r>
              <w:t xml:space="preserve">6. Use of AI to generate legal or technical citations</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identifying possible case law, scientific references, patent citations, or extracts from manuals</w:t>
            </w:r>
          </w:p>
        </w:tc>
        <w:tc>
          <w:tcPr>
            <w:tcW w:type="dxa" w:w="2200"/>
            <w:tcBorders>
              <w:top w:val="single" w:color="999999" w:sz="4"/>
              <w:left w:val="single" w:color="999999" w:sz="4"/>
              <w:bottom w:val="single" w:color="999999" w:sz="4"/>
              <w:right w:val="single" w:color="999999" w:sz="4"/>
            </w:tcBorders>
          </w:tcPr>
          <w:p>
            <w:pPr>
              <w:spacing w:after="60"/>
            </w:pPr>
            <w:r>
              <w:t xml:space="preserve">Fabricated citations, wrong technical attribution</w:t>
            </w:r>
          </w:p>
        </w:tc>
        <w:tc>
          <w:tcPr>
            <w:tcW w:type="dxa" w:w="2900"/>
            <w:tcBorders>
              <w:top w:val="single" w:color="999999" w:sz="4"/>
              <w:left w:val="single" w:color="999999" w:sz="4"/>
              <w:bottom w:val="single" w:color="999999" w:sz="4"/>
              <w:right w:val="single" w:color="999999" w:sz="4"/>
            </w:tcBorders>
          </w:tcPr>
          <w:p>
            <w:pPr>
              <w:spacing w:after="60"/>
            </w:pPr>
            <w:r>
              <w:t xml:space="preserve">1. No citation suggested by AI shall be used unless independently verified in the original source.</w:t>
            </w:r>
          </w:p>
          <w:p>
            <w:pPr>
              <w:spacing w:after="60"/>
            </w:pPr>
            <w:r>
              <w:t xml:space="preserve">2. The officer shall check the exact passage, context, and source.</w:t>
            </w:r>
          </w:p>
          <w:p>
            <w:pPr>
              <w:spacing w:after="60"/>
            </w:pPr>
            <w:r>
              <w:t xml:space="preserve">3. Case law shall be verified from the actual judgment or an authentic law report/database.</w:t>
            </w:r>
          </w:p>
          <w:p>
            <w:pPr>
              <w:spacing w:after="60"/>
            </w:pPr>
            <w:r>
              <w:t xml:space="preserve">4. If independent verification is not feasible, the AI-generated citation shall be discarded.</w:t>
            </w:r>
          </w:p>
        </w:tc>
      </w:tr>
      <w:tr>
        <w:tc>
          <w:tcPr>
            <w:tcW w:type="dxa" w:w="2200"/>
            <w:tcBorders>
              <w:top w:val="single" w:color="999999" w:sz="4"/>
              <w:left w:val="single" w:color="999999" w:sz="4"/>
              <w:bottom w:val="single" w:color="999999" w:sz="4"/>
              <w:right w:val="single" w:color="999999" w:sz="4"/>
            </w:tcBorders>
          </w:tcPr>
          <w:p>
            <w:pPr>
              <w:spacing w:after="60"/>
            </w:pPr>
            <w:r>
              <w:t xml:space="preserve">7. Use of a public generative AI tool with unpublished patent application material</w:t>
            </w:r>
          </w:p>
        </w:tc>
        <w:tc>
          <w:tcPr>
            <w:tcW w:type="dxa" w:w="2050"/>
            <w:tcBorders>
              <w:top w:val="single" w:color="999999" w:sz="4"/>
              <w:left w:val="single" w:color="999999" w:sz="4"/>
              <w:bottom w:val="single" w:color="999999" w:sz="4"/>
              <w:right w:val="single" w:color="999999" w:sz="4"/>
            </w:tcBorders>
          </w:tcPr>
          <w:p>
            <w:pPr>
              <w:spacing w:after="60"/>
            </w:pPr>
            <w:r>
              <w:t xml:space="preserve">This use is prohibited</w:t>
            </w:r>
          </w:p>
        </w:tc>
        <w:tc>
          <w:tcPr>
            <w:tcW w:type="dxa" w:w="2200"/>
            <w:tcBorders>
              <w:top w:val="single" w:color="999999" w:sz="4"/>
              <w:left w:val="single" w:color="999999" w:sz="4"/>
              <w:bottom w:val="single" w:color="999999" w:sz="4"/>
              <w:right w:val="single" w:color="999999" w:sz="4"/>
            </w:tcBorders>
          </w:tcPr>
          <w:p>
            <w:pPr>
              <w:spacing w:after="60"/>
            </w:pPr>
            <w:r>
              <w:t xml:space="preserve">Disclosure of unpublished subject matter, internal comments, or sensitive official material outside the approved environment</w:t>
            </w:r>
          </w:p>
        </w:tc>
        <w:tc>
          <w:tcPr>
            <w:tcW w:type="dxa" w:w="2900"/>
            <w:tcBorders>
              <w:top w:val="single" w:color="999999" w:sz="4"/>
              <w:left w:val="single" w:color="999999" w:sz="4"/>
              <w:bottom w:val="single" w:color="999999" w:sz="4"/>
              <w:right w:val="single" w:color="999999" w:sz="4"/>
            </w:tcBorders>
          </w:tcPr>
          <w:p>
            <w:pPr>
              <w:spacing w:after="60"/>
            </w:pPr>
            <w:r>
              <w:t xml:space="preserve">1. Only approved internal tools or secure authorised environments, if any, shall be used for such material.</w:t>
            </w:r>
          </w:p>
          <w:p>
            <w:pPr>
              <w:spacing w:after="60"/>
            </w:pPr>
            <w:r>
              <w:t xml:space="preserve">2. The officer shall ensure that no confidential or unpublished material is copied into an unapproved external system.</w:t>
            </w:r>
          </w:p>
          <w:p>
            <w:pPr>
              <w:spacing w:after="60"/>
            </w:pPr>
            <w:r>
              <w:t xml:space="preserve">3. Where doubt exists regarding permissibility, the material shall not be entered into the tool.</w:t>
            </w:r>
          </w:p>
        </w:tc>
      </w:tr>
      <w:tr>
        <w:tc>
          <w:tcPr>
            <w:tcW w:type="dxa" w:w="2200"/>
            <w:tcBorders>
              <w:top w:val="single" w:color="999999" w:sz="4"/>
              <w:left w:val="single" w:color="999999" w:sz="4"/>
              <w:bottom w:val="single" w:color="999999" w:sz="4"/>
              <w:right w:val="single" w:color="999999" w:sz="4"/>
            </w:tcBorders>
          </w:tcPr>
          <w:p>
            <w:pPr>
              <w:spacing w:after="60"/>
            </w:pPr>
            <w:r>
              <w:t xml:space="preserve">8. Use of AI for preliminary novelty or inventive-step analysis</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preliminary claim mapping, structured comparison, and internal organisation of analysis</w:t>
            </w:r>
          </w:p>
        </w:tc>
        <w:tc>
          <w:tcPr>
            <w:tcW w:type="dxa" w:w="2200"/>
            <w:tcBorders>
              <w:top w:val="single" w:color="999999" w:sz="4"/>
              <w:left w:val="single" w:color="999999" w:sz="4"/>
              <w:bottom w:val="single" w:color="999999" w:sz="4"/>
              <w:right w:val="single" w:color="999999" w:sz="4"/>
            </w:tcBorders>
          </w:tcPr>
          <w:p>
            <w:pPr>
              <w:spacing w:after="60"/>
            </w:pPr>
            <w:r>
              <w:t xml:space="preserve">Prompt-sensitive output, tool-sensitive output, inconsistent outputs, profile-sensitive output, missing distinguishing features, misreading prior art, hindsight, and persuasive but unsound reasoning</w:t>
            </w:r>
          </w:p>
        </w:tc>
        <w:tc>
          <w:tcPr>
            <w:tcW w:type="dxa" w:w="2900"/>
            <w:tcBorders>
              <w:top w:val="single" w:color="999999" w:sz="4"/>
              <w:left w:val="single" w:color="999999" w:sz="4"/>
              <w:bottom w:val="single" w:color="999999" w:sz="4"/>
              <w:right w:val="single" w:color="999999" w:sz="4"/>
            </w:tcBorders>
          </w:tcPr>
          <w:p>
            <w:pPr>
              <w:spacing w:after="60"/>
            </w:pPr>
            <w:r>
              <w:t xml:space="preserve">1. AI output shall be treated only as a preliminary assistive input.</w:t>
            </w:r>
          </w:p>
          <w:p>
            <w:pPr>
              <w:spacing w:after="60"/>
            </w:pPr>
            <w:r>
              <w:t xml:space="preserve">2. Each mapped feature shall be verified from the actual prior-art document, including drawings and contextual disclosure where necessary.</w:t>
            </w:r>
          </w:p>
          <w:p>
            <w:pPr>
              <w:spacing w:after="60"/>
            </w:pPr>
            <w:r>
              <w:t xml:space="preserve">3. Distinguishing features, amendments, and applicants' submissions shall be examined independently.</w:t>
            </w:r>
          </w:p>
          <w:p>
            <w:pPr>
              <w:spacing w:after="60"/>
            </w:pPr>
            <w:r>
              <w:t xml:space="preserve">4. The final conclusion on novelty or inventive step shall be based on the officer’s own analysis and application of mind.</w:t>
            </w:r>
          </w:p>
        </w:tc>
      </w:tr>
      <w:tr>
        <w:tc>
          <w:tcPr>
            <w:tcW w:type="dxa" w:w="2200"/>
            <w:tcBorders>
              <w:top w:val="single" w:color="999999" w:sz="4"/>
              <w:left w:val="single" w:color="999999" w:sz="4"/>
              <w:bottom w:val="single" w:color="999999" w:sz="4"/>
              <w:right w:val="single" w:color="999999" w:sz="4"/>
            </w:tcBorders>
          </w:tcPr>
          <w:p>
            <w:pPr>
              <w:spacing w:after="60"/>
            </w:pPr>
            <w:r>
              <w:t xml:space="preserve">9. Use of AI for quick identification of clarity issues in claims</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identifying possible ambiguity, indefiniteness, and drafting defects</w:t>
            </w:r>
          </w:p>
        </w:tc>
        <w:tc>
          <w:tcPr>
            <w:tcW w:type="dxa" w:w="2200"/>
            <w:tcBorders>
              <w:top w:val="single" w:color="999999" w:sz="4"/>
              <w:left w:val="single" w:color="999999" w:sz="4"/>
              <w:bottom w:val="single" w:color="999999" w:sz="4"/>
              <w:right w:val="single" w:color="999999" w:sz="4"/>
            </w:tcBorders>
          </w:tcPr>
          <w:p>
            <w:pPr>
              <w:spacing w:after="60"/>
            </w:pPr>
            <w:r>
              <w:t xml:space="preserve">Overstatement of objections, legally unsound objections, or introduction of new ambiguity; application of standards from foreign jurisdictions which may differ from Indian benchmarks</w:t>
            </w:r>
          </w:p>
        </w:tc>
        <w:tc>
          <w:tcPr>
            <w:tcW w:type="dxa" w:w="2900"/>
            <w:tcBorders>
              <w:top w:val="single" w:color="999999" w:sz="4"/>
              <w:left w:val="single" w:color="999999" w:sz="4"/>
              <w:bottom w:val="single" w:color="999999" w:sz="4"/>
              <w:right w:val="single" w:color="999999" w:sz="4"/>
            </w:tcBorders>
          </w:tcPr>
          <w:p>
            <w:pPr>
              <w:spacing w:after="60"/>
            </w:pPr>
            <w:r>
              <w:t xml:space="preserve">1. AI output shall be used only for preliminary issue-spotting.</w:t>
            </w:r>
          </w:p>
          <w:p>
            <w:pPr>
              <w:spacing w:after="60"/>
            </w:pPr>
            <w:r>
              <w:t xml:space="preserve">2. The claim shall be compared manually in the context of the complete specification.</w:t>
            </w:r>
          </w:p>
          <w:p>
            <w:pPr>
              <w:spacing w:after="60"/>
            </w:pPr>
            <w:r>
              <w:t xml:space="preserve">3. The officer shall independently determine whether the issue truly arises under the applicable statutory provision.</w:t>
            </w:r>
          </w:p>
          <w:p>
            <w:pPr>
              <w:spacing w:after="60"/>
            </w:pPr>
            <w:r>
              <w:t xml:space="preserve">4. Any draft objection suggested by AI shall be reformulated, where necessary, in the official drafting style followed by IPO along with relevant statutory provisions.</w:t>
            </w:r>
          </w:p>
          <w:p>
            <w:pPr>
              <w:spacing w:after="60"/>
            </w:pPr>
            <w:r>
              <w:t xml:space="preserve">5. No clarity objection shall be issued unless the officer is personally satisfied as to its legal and technical basis.</w:t>
            </w:r>
          </w:p>
        </w:tc>
      </w:tr>
      <w:tr>
        <w:tc>
          <w:tcPr>
            <w:tcW w:type="dxa" w:w="2200"/>
            <w:tcBorders>
              <w:top w:val="single" w:color="999999" w:sz="4"/>
              <w:left w:val="single" w:color="999999" w:sz="4"/>
              <w:bottom w:val="single" w:color="999999" w:sz="4"/>
              <w:right w:val="single" w:color="999999" w:sz="4"/>
            </w:tcBorders>
          </w:tcPr>
          <w:p>
            <w:pPr>
              <w:spacing w:after="60"/>
            </w:pPr>
            <w:r>
              <w:t xml:space="preserve">10. Use of AI for prior-art search using officially subscribed AI tools</w:t>
            </w:r>
          </w:p>
        </w:tc>
        <w:tc>
          <w:tcPr>
            <w:tcW w:type="dxa" w:w="2050"/>
            <w:tcBorders>
              <w:top w:val="single" w:color="999999" w:sz="4"/>
              <w:left w:val="single" w:color="999999" w:sz="4"/>
              <w:bottom w:val="single" w:color="999999" w:sz="4"/>
              <w:right w:val="single" w:color="999999" w:sz="4"/>
            </w:tcBorders>
          </w:tcPr>
          <w:p>
            <w:pPr>
              <w:spacing w:after="60"/>
            </w:pPr>
            <w:r>
              <w:t xml:space="preserve">May improve search results with structured queries</w:t>
            </w:r>
          </w:p>
        </w:tc>
        <w:tc>
          <w:tcPr>
            <w:tcW w:type="dxa" w:w="2200"/>
            <w:tcBorders>
              <w:top w:val="single" w:color="999999" w:sz="4"/>
              <w:left w:val="single" w:color="999999" w:sz="4"/>
              <w:bottom w:val="single" w:color="999999" w:sz="4"/>
              <w:right w:val="single" w:color="999999" w:sz="4"/>
            </w:tcBorders>
          </w:tcPr>
          <w:p>
            <w:pPr>
              <w:spacing w:after="60"/>
            </w:pPr>
            <w:r>
              <w:t xml:space="preserve">Query dependence, variation in retrieval quality, and over-reliance on automated ranking</w:t>
            </w:r>
          </w:p>
        </w:tc>
        <w:tc>
          <w:tcPr>
            <w:tcW w:type="dxa" w:w="2900"/>
            <w:tcBorders>
              <w:top w:val="single" w:color="999999" w:sz="4"/>
              <w:left w:val="single" w:color="999999" w:sz="4"/>
              <w:bottom w:val="single" w:color="999999" w:sz="4"/>
              <w:right w:val="single" w:color="999999" w:sz="4"/>
            </w:tcBorders>
          </w:tcPr>
          <w:p>
            <w:pPr>
              <w:spacing w:after="60"/>
            </w:pPr>
            <w:r>
              <w:t xml:space="preserve">1. The query shall be framed carefully and, where necessary, refined manually.</w:t>
            </w:r>
          </w:p>
          <w:p>
            <w:pPr>
              <w:spacing w:after="60"/>
            </w:pPr>
            <w:r>
              <w:t xml:space="preserve">2. Preparation of an adequate abstract before searching is important for proper search.</w:t>
            </w:r>
          </w:p>
          <w:p>
            <w:pPr>
              <w:spacing w:after="60"/>
            </w:pPr>
            <w:r>
              <w:t xml:space="preserve">3. Search results shall be assessed manually for relevance.</w:t>
            </w:r>
          </w:p>
          <w:p>
            <w:pPr>
              <w:spacing w:after="60"/>
            </w:pPr>
            <w:r>
              <w:t xml:space="preserve">4. Different query formulations may be tried where the initial search is inadequate.</w:t>
            </w:r>
          </w:p>
          <w:p>
            <w:pPr>
              <w:spacing w:after="60"/>
            </w:pPr>
            <w:r>
              <w:t xml:space="preserve">5. Retrieved documents shall be reviewed against the claims and the complete specification.</w:t>
            </w:r>
          </w:p>
          <w:p>
            <w:pPr>
              <w:spacing w:after="60"/>
            </w:pPr>
            <w:r>
              <w:t xml:space="preserve">6. The final search results shall be selected by the officer on the basis of independent judgment.</w:t>
            </w:r>
          </w:p>
        </w:tc>
      </w:tr>
      <w:tr>
        <w:tc>
          <w:tcPr>
            <w:tcW w:type="dxa" w:w="2200"/>
            <w:tcBorders>
              <w:top w:val="single" w:color="999999" w:sz="4"/>
              <w:left w:val="single" w:color="999999" w:sz="4"/>
              <w:bottom w:val="single" w:color="999999" w:sz="4"/>
              <w:right w:val="single" w:color="999999" w:sz="4"/>
            </w:tcBorders>
          </w:tcPr>
          <w:p>
            <w:pPr>
              <w:spacing w:after="60"/>
            </w:pPr>
            <w:r>
              <w:t xml:space="preserve">11. Use of AI for preliminary assessment of sufficiency of disclosure</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identifying possible gaps in enablement or fair basis</w:t>
            </w:r>
          </w:p>
        </w:tc>
        <w:tc>
          <w:tcPr>
            <w:tcW w:type="dxa" w:w="2200"/>
            <w:tcBorders>
              <w:top w:val="single" w:color="999999" w:sz="4"/>
              <w:left w:val="single" w:color="999999" w:sz="4"/>
              <w:bottom w:val="single" w:color="999999" w:sz="4"/>
              <w:right w:val="single" w:color="999999" w:sz="4"/>
            </w:tcBorders>
          </w:tcPr>
          <w:p>
            <w:pPr>
              <w:spacing w:after="60"/>
            </w:pPr>
            <w:r>
              <w:t xml:space="preserve">Over-reading, under-reading, false confidence, or sowing confusion in technically complex matters</w:t>
            </w:r>
          </w:p>
        </w:tc>
        <w:tc>
          <w:tcPr>
            <w:tcW w:type="dxa" w:w="2900"/>
            <w:tcBorders>
              <w:top w:val="single" w:color="999999" w:sz="4"/>
              <w:left w:val="single" w:color="999999" w:sz="4"/>
              <w:bottom w:val="single" w:color="999999" w:sz="4"/>
              <w:right w:val="single" w:color="999999" w:sz="4"/>
            </w:tcBorders>
          </w:tcPr>
          <w:p>
            <w:pPr>
              <w:spacing w:after="60"/>
            </w:pPr>
            <w:r>
              <w:t xml:space="preserve">1. The complete specification, drawings, examples, and common general knowledge shall be examined manually.</w:t>
            </w:r>
          </w:p>
          <w:p>
            <w:pPr>
              <w:spacing w:after="60"/>
            </w:pPr>
            <w:r>
              <w:t xml:space="preserve">2. The officer shall independently assess whether the alleged gap is real, material, and relevant to the statutory requirement.</w:t>
            </w:r>
          </w:p>
          <w:p>
            <w:pPr>
              <w:spacing w:after="60"/>
            </w:pPr>
            <w:r>
              <w:t xml:space="preserve">3. Any final objection on sufficiency shall be framed only after independent technical and legal assessment.</w:t>
            </w:r>
          </w:p>
        </w:tc>
      </w:tr>
      <w:tr>
        <w:tc>
          <w:tcPr>
            <w:tcW w:type="dxa" w:w="2200"/>
            <w:tcBorders>
              <w:top w:val="single" w:color="999999" w:sz="4"/>
              <w:left w:val="single" w:color="999999" w:sz="4"/>
              <w:bottom w:val="single" w:color="999999" w:sz="4"/>
              <w:right w:val="single" w:color="999999" w:sz="4"/>
            </w:tcBorders>
          </w:tcPr>
          <w:p>
            <w:pPr>
              <w:spacing w:after="60"/>
            </w:pPr>
            <w:r>
              <w:t xml:space="preserve">12. Use of AI for understanding case law and related legal or technical concepts</w:t>
            </w:r>
          </w:p>
        </w:tc>
        <w:tc>
          <w:tcPr>
            <w:tcW w:type="dxa" w:w="2050"/>
            <w:tcBorders>
              <w:top w:val="single" w:color="999999" w:sz="4"/>
              <w:left w:val="single" w:color="999999" w:sz="4"/>
              <w:bottom w:val="single" w:color="999999" w:sz="4"/>
              <w:right w:val="single" w:color="999999" w:sz="4"/>
            </w:tcBorders>
          </w:tcPr>
          <w:p>
            <w:pPr>
              <w:spacing w:after="60"/>
            </w:pPr>
            <w:r>
              <w:t xml:space="preserve">May assist in summarising judgments or explaining technical/legal concepts for understanding</w:t>
            </w:r>
          </w:p>
        </w:tc>
        <w:tc>
          <w:tcPr>
            <w:tcW w:type="dxa" w:w="2200"/>
            <w:tcBorders>
              <w:top w:val="single" w:color="999999" w:sz="4"/>
              <w:left w:val="single" w:color="999999" w:sz="4"/>
              <w:bottom w:val="single" w:color="999999" w:sz="4"/>
              <w:right w:val="single" w:color="999999" w:sz="4"/>
            </w:tcBorders>
          </w:tcPr>
          <w:p>
            <w:pPr>
              <w:spacing w:after="60"/>
            </w:pPr>
            <w:r>
              <w:t xml:space="preserve">Hallucinated quotations, fabricated paragraphs, misattributed reasoning, and incorrect extraction of legal principles</w:t>
            </w:r>
          </w:p>
        </w:tc>
        <w:tc>
          <w:tcPr>
            <w:tcW w:type="dxa" w:w="2900"/>
            <w:tcBorders>
              <w:top w:val="single" w:color="999999" w:sz="4"/>
              <w:left w:val="single" w:color="999999" w:sz="4"/>
              <w:bottom w:val="single" w:color="999999" w:sz="4"/>
              <w:right w:val="single" w:color="999999" w:sz="4"/>
            </w:tcBorders>
          </w:tcPr>
          <w:p>
            <w:pPr>
              <w:spacing w:after="60"/>
            </w:pPr>
            <w:r>
              <w:t xml:space="preserve">1. AI may be used only for preliminary understanding or orientation.</w:t>
            </w:r>
          </w:p>
          <w:p>
            <w:pPr>
              <w:spacing w:after="60"/>
            </w:pPr>
            <w:r>
              <w:t xml:space="preserve">2. No verbatim quote, ratio, paragraph, or legal proposition generated by AI shall be relied upon without checking the primary source.</w:t>
            </w:r>
          </w:p>
          <w:p>
            <w:pPr>
              <w:spacing w:after="60"/>
            </w:pPr>
            <w:r>
              <w:t xml:space="preserve">3. The judgment shall be read in the context of the facts and circumstances of that case.</w:t>
            </w:r>
          </w:p>
          <w:p>
            <w:pPr>
              <w:spacing w:after="60"/>
            </w:pPr>
            <w:r>
              <w:t xml:space="preserve">4. The officer shall independently determine the relevance and applicability of the precedent to the present case.</w:t>
            </w:r>
          </w:p>
          <w:p>
            <w:pPr>
              <w:spacing w:after="60"/>
            </w:pPr>
            <w:r>
              <w:t xml:space="preserve">5. Where the AI output is found to contain fabricated, paraphrased, or misattributed material, it shall be discarded.</w:t>
            </w:r>
          </w:p>
        </w:tc>
      </w:tr>
    </w:tbl>
    <w:p>
      <w:r>
        <w:br w:type="page"/>
      </w:r>
    </w:p>
    <w:p>
      <w:pPr>
        <w:pStyle w:val="Heading1"/>
      </w:pPr>
      <w:r>
        <w:t xml:space="preserve">5. Prohibited Uses</w:t>
      </w:r>
    </w:p>
    <w:p>
      <w:pPr>
        <w:spacing w:after="200"/>
      </w:pPr>
      <w:r>
        <w:rPr>
          <w:b w:val="false"/>
          <w:bCs w:val="false"/>
          <w:i w:val="false"/>
          <w:iCs w:val="false"/>
        </w:rPr>
        <w:t xml:space="preserve">The following uses are not permitted:</w:t>
      </w:r>
    </w:p>
    <w:p>
      <w:pPr>
        <w:pStyle w:val="ListParagraph"/>
        <w:numPr>
          <w:ilvl w:val="0"/>
          <w:numId w:val="2"/>
        </w:numPr>
        <w:spacing w:after="100"/>
      </w:pPr>
      <w:r>
        <w:t xml:space="preserve">(a) Entering unpublished patent application contents, confidential office records, or internal deliberative material into public AI tools.</w:t>
      </w:r>
    </w:p>
    <w:p>
      <w:pPr>
        <w:pStyle w:val="ListParagraph"/>
        <w:numPr>
          <w:ilvl w:val="0"/>
          <w:numId w:val="2"/>
        </w:numPr>
        <w:spacing w:after="100"/>
      </w:pPr>
      <w:r>
        <w:t xml:space="preserve">(b) Using Artificial Intelligence as a substitute for the Examiner’s or Controller’s application of mind on substantive matters including novelty, inventive step, industrial applicability, sufficiency, clarity, or unity of invention.</w:t>
      </w:r>
    </w:p>
    <w:p>
      <w:pPr>
        <w:pStyle w:val="ListParagraph"/>
        <w:numPr>
          <w:ilvl w:val="0"/>
          <w:numId w:val="2"/>
        </w:numPr>
        <w:spacing w:after="100"/>
      </w:pPr>
      <w:r>
        <w:t xml:space="preserve">(c) Issuing office actions, FERs, hearing notices, decisions or other official communications solely on the basis of AI-generated output without adequate human oversight.</w:t>
      </w:r>
    </w:p>
    <w:p>
      <w:pPr>
        <w:pStyle w:val="ListParagraph"/>
        <w:numPr>
          <w:ilvl w:val="0"/>
          <w:numId w:val="2"/>
        </w:numPr>
        <w:spacing w:after="100"/>
      </w:pPr>
      <w:r>
        <w:t xml:space="preserve">(d) Citing case law, prior art, scientific literature, or other references suggested by Artificial Intelligence without independent source verification from authentic sources.</w:t>
      </w:r>
    </w:p>
    <w:p>
      <w:pPr>
        <w:pStyle w:val="ListParagraph"/>
        <w:numPr>
          <w:ilvl w:val="0"/>
          <w:numId w:val="2"/>
        </w:numPr>
        <w:spacing w:after="100"/>
      </w:pPr>
      <w:r>
        <w:t xml:space="preserve">(e) Using AI-generated content in official communications without review, correction, and adoption by the concerned officer.</w:t>
      </w:r>
    </w:p>
    <w:p>
      <w:pPr>
        <w:pStyle w:val="ListParagraph"/>
        <w:numPr>
          <w:ilvl w:val="0"/>
          <w:numId w:val="2"/>
        </w:numPr>
        <w:spacing w:after="100"/>
      </w:pPr>
      <w:r>
        <w:t xml:space="preserve">(f) Relying solely on Artificial Intelligence for decision-making affecting rights of applicants/patentees or third parties, especially in situations involving opposing parties, for instance, opposition proceedings.</w:t>
      </w:r>
    </w:p>
    <w:p>
      <w:pPr>
        <w:pStyle w:val="Heading1"/>
      </w:pPr>
      <w:r>
        <w:t xml:space="preserve">6. Administrative Measures</w:t>
      </w:r>
    </w:p>
    <w:p>
      <w:pPr>
        <w:pStyle w:val="ListParagraph"/>
        <w:numPr>
          <w:ilvl w:val="0"/>
          <w:numId w:val="3"/>
        </w:numPr>
        <w:spacing w:after="100"/>
      </w:pPr>
      <w:r>
        <w:t xml:space="preserve">The competent authority may prescribe that material use of Artificial Intelligence in specified functions shall be recorded. Such records may include the name of the tool, the nature of the use, the date of use, and any other information considered necessary for supervision, audit, or quality review. The disclosure may be made available to stakeholders to improve confidence in the examination process.</w:t>
      </w:r>
    </w:p>
    <w:p>
      <w:pPr>
        <w:pStyle w:val="ListParagraph"/>
        <w:numPr>
          <w:ilvl w:val="0"/>
          <w:numId w:val="3"/>
        </w:numPr>
        <w:spacing w:after="100"/>
      </w:pPr>
      <w:r>
        <w:t xml:space="preserve">The competent authority may establish a dedicated committee for governance of the use of Artificial Intelligence in Patent Office functions. Such committee may be entrusted with:</w:t>
      </w:r>
    </w:p>
    <w:p>
      <w:pPr>
        <w:pStyle w:val="ListParagraph"/>
        <w:numPr>
          <w:ilvl w:val="1"/>
          <w:numId w:val="2"/>
        </w:numPr>
        <w:spacing w:after="100"/>
      </w:pPr>
      <w:r>
        <w:t xml:space="preserve">a. review and approval of tools;</w:t>
      </w:r>
    </w:p>
    <w:p>
      <w:pPr>
        <w:pStyle w:val="ListParagraph"/>
        <w:numPr>
          <w:ilvl w:val="1"/>
          <w:numId w:val="2"/>
        </w:numPr>
        <w:spacing w:after="100"/>
      </w:pPr>
      <w:r>
        <w:t xml:space="preserve">b. categorisation of uses into permitted and prohibited classes;</w:t>
      </w:r>
    </w:p>
    <w:p>
      <w:pPr>
        <w:pStyle w:val="ListParagraph"/>
        <w:numPr>
          <w:ilvl w:val="1"/>
          <w:numId w:val="2"/>
        </w:numPr>
        <w:spacing w:after="100"/>
      </w:pPr>
      <w:r>
        <w:t xml:space="preserve">c. prescription of safeguards and approval conditions;</w:t>
      </w:r>
    </w:p>
    <w:p>
      <w:pPr>
        <w:pStyle w:val="ListParagraph"/>
        <w:numPr>
          <w:ilvl w:val="1"/>
          <w:numId w:val="2"/>
        </w:numPr>
        <w:spacing w:after="100"/>
      </w:pPr>
      <w:r>
        <w:t xml:space="preserve">d. pilot studies on the use of AI in the examination process;</w:t>
      </w:r>
    </w:p>
    <w:p>
      <w:pPr>
        <w:pStyle w:val="ListParagraph"/>
        <w:numPr>
          <w:ilvl w:val="1"/>
          <w:numId w:val="2"/>
        </w:numPr>
        <w:spacing w:after="100"/>
      </w:pPr>
      <w:r>
        <w:t xml:space="preserve">e. review of quality, errors, complaints, or policy breaches;</w:t>
      </w:r>
    </w:p>
    <w:p>
      <w:pPr>
        <w:pStyle w:val="ListParagraph"/>
        <w:numPr>
          <w:ilvl w:val="1"/>
          <w:numId w:val="2"/>
        </w:numPr>
        <w:spacing w:after="100"/>
      </w:pPr>
      <w:r>
        <w:t xml:space="preserve">f. periodic revision of these Guidelines; and</w:t>
      </w:r>
    </w:p>
    <w:p>
      <w:pPr>
        <w:pStyle w:val="ListParagraph"/>
        <w:numPr>
          <w:ilvl w:val="1"/>
          <w:numId w:val="2"/>
        </w:numPr>
        <w:spacing w:after="100"/>
      </w:pPr>
      <w:r>
        <w:t xml:space="preserve">g. holding consultations with relevant stakeholders and AI experts possessing demonstrable technical expertise in machine learning, natural language processing, or large language model systems.</w:t>
      </w:r>
    </w:p>
    <w:p>
      <w:pPr>
        <w:spacing w:after="200"/>
      </w:pPr>
      <w:r>
        <w:rPr>
          <w:b w:val="false"/>
          <w:bCs w:val="false"/>
          <w:i w:val="false"/>
          <w:iCs w:val="false"/>
        </w:rPr>
        <w:t xml:space="preserve">The AI Governance Committee of the O/o CGPDTM shall comprise examiner(s) and controller(s) from the Examination Division of the Patent Office, officer(s) from the IT Office and from the QMS Division. The officers shall be nominated so as to cover the different technology groups in the patent office.</w:t>
      </w:r>
    </w:p>
    <w:p>
      <w:pPr>
        <w:pStyle w:val="ListParagraph"/>
        <w:numPr>
          <w:ilvl w:val="0"/>
          <w:numId w:val="3"/>
        </w:numPr>
        <w:spacing w:after="100"/>
      </w:pPr>
      <w:r>
        <w:t xml:space="preserve">The competent authority may take steps for training and capacity building of officers to cover:</w:t>
      </w:r>
    </w:p>
    <w:p>
      <w:pPr>
        <w:pStyle w:val="ListParagraph"/>
        <w:numPr>
          <w:ilvl w:val="1"/>
          <w:numId w:val="2"/>
        </w:numPr>
        <w:spacing w:after="100"/>
      </w:pPr>
      <w:r>
        <w:t xml:space="preserve">a. functionalities and limitations of Artificial Intelligence;</w:t>
      </w:r>
    </w:p>
    <w:p>
      <w:pPr>
        <w:pStyle w:val="ListParagraph"/>
        <w:numPr>
          <w:ilvl w:val="1"/>
          <w:numId w:val="2"/>
        </w:numPr>
        <w:spacing w:after="100"/>
      </w:pPr>
      <w:r>
        <w:t xml:space="preserve">b. confidentiality risks and prompt discipline;</w:t>
      </w:r>
    </w:p>
    <w:p>
      <w:pPr>
        <w:pStyle w:val="ListParagraph"/>
        <w:numPr>
          <w:ilvl w:val="1"/>
          <w:numId w:val="2"/>
        </w:numPr>
        <w:spacing w:after="100"/>
      </w:pPr>
      <w:r>
        <w:t xml:space="preserve">c. verification of AI-assisted outputs;</w:t>
      </w:r>
    </w:p>
    <w:p>
      <w:pPr>
        <w:pStyle w:val="ListParagraph"/>
        <w:numPr>
          <w:ilvl w:val="1"/>
          <w:numId w:val="2"/>
        </w:numPr>
        <w:spacing w:after="100"/>
      </w:pPr>
      <w:r>
        <w:t xml:space="preserve">d. responsible use in public service;</w:t>
      </w:r>
    </w:p>
    <w:p>
      <w:pPr>
        <w:pStyle w:val="ListParagraph"/>
        <w:numPr>
          <w:ilvl w:val="1"/>
          <w:numId w:val="2"/>
        </w:numPr>
        <w:spacing w:after="100"/>
      </w:pPr>
      <w:r>
        <w:t xml:space="preserve">e. identification of hallucinations, unsupported claims, and fabricated citations;</w:t>
      </w:r>
    </w:p>
    <w:p>
      <w:pPr>
        <w:pStyle w:val="ListParagraph"/>
        <w:numPr>
          <w:ilvl w:val="1"/>
          <w:numId w:val="2"/>
        </w:numPr>
        <w:spacing w:after="100"/>
      </w:pPr>
      <w:r>
        <w:t xml:space="preserve">f. permitted and prohibited uses under these Guidelines.</w:t>
      </w:r>
    </w:p>
    <w:p>
      <w:pPr>
        <w:pStyle w:val="ListParagraph"/>
        <w:numPr>
          <w:ilvl w:val="0"/>
          <w:numId w:val="3"/>
        </w:numPr>
        <w:spacing w:after="100"/>
      </w:pPr>
      <w:r>
        <w:t xml:space="preserve">Where appropriate, the competent authority may also provide for independent audit, impact assessment, feedback mechanisms, and incident reporting systems.</w:t>
      </w:r>
    </w:p>
    <w:p>
      <w:pPr>
        <w:spacing w:after="100"/>
      </w:pPr>
      <w:r>
        <w:rPr>
          <w:b w:val="false"/>
          <w:bCs w:val="false"/>
          <w:i w:val="false"/>
          <w:iCs w:val="false"/>
        </w:rPr>
        <w:t xml:space="preserve">Annexure-I: A non-exhaustive list of illustrative examples of use of Artificial Intelligence in Patent Examination.</w:t>
      </w:r>
    </w:p>
    <w:p>
      <w:pPr>
        <w:spacing w:after="200"/>
      </w:pPr>
      <w:r>
        <w:rPr>
          <w:b w:val="false"/>
          <w:bCs w:val="false"/>
          <w:i w:val="false"/>
          <w:iCs w:val="false"/>
        </w:rPr>
        <w:t xml:space="preserve">Annexure-II: Checklist and declaration.</w:t>
      </w:r>
    </w:p>
    <w:p>
      <w:r>
        <w:br w:type="page"/>
      </w:r>
    </w:p>
    <w:p>
      <w:pPr>
        <w:pStyle w:val="Heading1"/>
      </w:pPr>
      <w:r>
        <w:t xml:space="preserve">Annexure-I: Illustrative Examples of Use of Artificial Intelligence in Patent Examination</w:t>
      </w:r>
    </w:p>
    <w:p>
      <w:pPr>
        <w:spacing w:after="200"/>
      </w:pPr>
      <w:r>
        <w:rPr>
          <w:i/>
          <w:iCs/>
        </w:rPr>
        <w:t xml:space="preserve">These illustrative examples are not intended to offer guidance on prompt engineering techniques or best practices for the use of AI tools, nor to give advice on training AI models for specific tasks. Users may adopt any suitable prompts of their choice, in line with the safeguards specified in the Guidelines.</w:t>
      </w:r>
    </w:p>
    <w:p>
      <w:pPr>
        <w:pStyle w:val="Heading2"/>
      </w:pPr>
      <w:r>
        <w:t xml:space="preserve">1.1 Use of AI for identifying candidate IPC classifications</w:t>
      </w:r>
    </w:p>
    <w:p>
      <w:pPr>
        <w:spacing w:after="200"/>
      </w:pPr>
      <w:r>
        <w:rPr>
          <w:b w:val="false"/>
          <w:bCs w:val="false"/>
          <w:i w:val="false"/>
          <w:iCs w:val="false"/>
        </w:rPr>
        <w:t xml:space="preserve">AI is a useful tool to identify classification codes relevant to an invention. But human oversight remains necessary while arriving at a reasoned and final classification. This is illustrated with two examples below.</w:t>
      </w:r>
    </w:p>
    <w:p>
      <w:pPr>
        <w:pStyle w:val="Heading3"/>
      </w:pPr>
      <w:r>
        <w:t xml:space="preserve">Example 1: Variability observed in AI-assisted patent classification</w:t>
      </w:r>
    </w:p>
    <w:p>
      <w:pPr>
        <w:spacing w:after="200"/>
      </w:pPr>
      <w:r>
        <w:rPr>
          <w:b w:val="false"/>
          <w:bCs w:val="false"/>
          <w:i w:val="false"/>
          <w:iCs w:val="false"/>
        </w:rPr>
        <w:t xml:space="preserve">Nine different AI tools/models/prompt configurations, plus manually assigned CPC and IPC codes, were compared for the independent claim of two patent applications. The prompt used for all AI tools was: “Find the appropriate IPC Classification for the text provided below”, followed by the text of Independent Claim 1. To further refine the classifications, a detailed set of 31 conditions (for example, requiring claim-driven analysis, correct use of official IPC/CPC lists, avoidance of speculative classification, and examiner-style reasoning) was additionally provided to one AI tool; however, the classifications it produced still included erroneous entries.</w:t>
      </w:r>
    </w:p>
    <w:p>
      <w:pPr>
        <w:spacing w:after="200"/>
      </w:pPr>
      <w:r>
        <w:rPr>
          <w:b w:val="false"/>
          <w:bCs w:val="false"/>
          <w:i w:val="false"/>
          <w:iCs w:val="false"/>
        </w:rPr>
        <w:t xml:space="preserve">The table below reproduces the codes generated for Claim 1 of application 20261100XXXX. (Note: for the second application compared in the source table, the exact code-to-column alignment could not be reconstructed with confidence from the extracted document and has therefore been omitted here; the source PDF should be consulted for that data.)</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300"/>
        <w:gridCol w:w="7000"/>
      </w:tblGrid>
      <w:tr>
        <w:trPr>
          <w:tblHeader/>
        </w:trPr>
        <w:tc>
          <w:tcPr>
            <w:tcW w:type="dxa" w:w="2300"/>
            <w:tcBorders>
              <w:top w:val="single" w:color="999999" w:sz="4"/>
              <w:left w:val="single" w:color="999999" w:sz="4"/>
              <w:bottom w:val="single" w:color="999999" w:sz="4"/>
              <w:right w:val="single" w:color="999999" w:sz="4"/>
            </w:tcBorders>
            <w:shd w:fill="D9E2F3" w:val="clear"/>
          </w:tcPr>
          <w:p>
            <w:r>
              <w:rPr>
                <w:b/>
                <w:bCs/>
              </w:rPr>
              <w:t xml:space="preserve">Source of classification</w:t>
            </w:r>
          </w:p>
        </w:tc>
        <w:tc>
          <w:tcPr>
            <w:tcW w:type="dxa" w:w="7000"/>
            <w:tcBorders>
              <w:top w:val="single" w:color="999999" w:sz="4"/>
              <w:left w:val="single" w:color="999999" w:sz="4"/>
              <w:bottom w:val="single" w:color="999999" w:sz="4"/>
              <w:right w:val="single" w:color="999999" w:sz="4"/>
            </w:tcBorders>
            <w:shd w:fill="D9E2F3" w:val="clear"/>
          </w:tcPr>
          <w:p>
            <w:r>
              <w:rPr>
                <w:b/>
                <w:bCs/>
              </w:rPr>
              <w:t xml:space="preserve">IPC/CPC codes suggested</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A (CPC, via AI-based search box)</w:t>
            </w:r>
          </w:p>
        </w:tc>
        <w:tc>
          <w:tcPr>
            <w:tcW w:type="dxa" w:w="7000"/>
            <w:tcBorders>
              <w:top w:val="single" w:color="999999" w:sz="4"/>
              <w:left w:val="single" w:color="999999" w:sz="4"/>
              <w:bottom w:val="single" w:color="999999" w:sz="4"/>
              <w:right w:val="single" w:color="999999" w:sz="4"/>
            </w:tcBorders>
          </w:tcPr>
          <w:p>
            <w:pPr>
              <w:spacing w:after="60"/>
            </w:pPr>
            <w:r>
              <w:t xml:space="preserve">B64U60/50, B64D1/18, B64U30/20, B64U10/20, B64U101/45</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B (IPC, via AI-based search box)</w:t>
            </w:r>
          </w:p>
        </w:tc>
        <w:tc>
          <w:tcPr>
            <w:tcW w:type="dxa" w:w="7000"/>
            <w:tcBorders>
              <w:top w:val="single" w:color="999999" w:sz="4"/>
              <w:left w:val="single" w:color="999999" w:sz="4"/>
              <w:bottom w:val="single" w:color="999999" w:sz="4"/>
              <w:right w:val="single" w:color="999999" w:sz="4"/>
            </w:tcBorders>
          </w:tcPr>
          <w:p>
            <w:pPr>
              <w:spacing w:after="60"/>
            </w:pPr>
            <w:r>
              <w:t xml:space="preserve">B64C1/14, B64D1/18, B64D27/24, A01M1/20, A01M29/10</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C — sorted by relevance (Concept search)</w:t>
            </w:r>
          </w:p>
        </w:tc>
        <w:tc>
          <w:tcPr>
            <w:tcW w:type="dxa" w:w="7000"/>
            <w:tcBorders>
              <w:top w:val="single" w:color="999999" w:sz="4"/>
              <w:left w:val="single" w:color="999999" w:sz="4"/>
              <w:bottom w:val="single" w:color="999999" w:sz="4"/>
              <w:right w:val="single" w:color="999999" w:sz="4"/>
            </w:tcBorders>
          </w:tcPr>
          <w:p>
            <w:pPr>
              <w:spacing w:after="60"/>
            </w:pPr>
            <w:r>
              <w:t xml:space="preserve">B64U10/13, B64D1/18, B09B3/30, A01C1/06, A61L2/26</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C — sorted by count (Concept search)</w:t>
            </w:r>
          </w:p>
        </w:tc>
        <w:tc>
          <w:tcPr>
            <w:tcW w:type="dxa" w:w="7000"/>
            <w:tcBorders>
              <w:top w:val="single" w:color="999999" w:sz="4"/>
              <w:left w:val="single" w:color="999999" w:sz="4"/>
              <w:bottom w:val="single" w:color="999999" w:sz="4"/>
              <w:right w:val="single" w:color="999999" w:sz="4"/>
            </w:tcBorders>
          </w:tcPr>
          <w:p>
            <w:pPr>
              <w:spacing w:after="60"/>
            </w:pPr>
            <w:r>
              <w:t xml:space="preserve">B64D1/18, B01L3/502715, A01M7/0089, E04G21/02, A01G31/02</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D (IPC – current and CPC – current)</w:t>
            </w:r>
          </w:p>
        </w:tc>
        <w:tc>
          <w:tcPr>
            <w:tcW w:type="dxa" w:w="7000"/>
            <w:tcBorders>
              <w:top w:val="single" w:color="999999" w:sz="4"/>
              <w:left w:val="single" w:color="999999" w:sz="4"/>
              <w:bottom w:val="single" w:color="999999" w:sz="4"/>
              <w:right w:val="single" w:color="999999" w:sz="4"/>
            </w:tcBorders>
          </w:tcPr>
          <w:p>
            <w:pPr>
              <w:spacing w:after="60"/>
            </w:pPr>
            <w:r>
              <w:t xml:space="preserve">B64D1/18, A01M7/00, B64U101/45, B64C39/02, B64C27/08</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E (highest mode)</w:t>
            </w:r>
          </w:p>
        </w:tc>
        <w:tc>
          <w:tcPr>
            <w:tcW w:type="dxa" w:w="7000"/>
            <w:tcBorders>
              <w:top w:val="single" w:color="999999" w:sz="4"/>
              <w:left w:val="single" w:color="999999" w:sz="4"/>
              <w:bottom w:val="single" w:color="999999" w:sz="4"/>
              <w:right w:val="single" w:color="999999" w:sz="4"/>
            </w:tcBorders>
          </w:tcPr>
          <w:p>
            <w:pPr>
              <w:spacing w:after="60"/>
            </w:pPr>
            <w:r>
              <w:t xml:space="preserve">B64U101/30, B64D1/18, B64U10/14, A01M7/00, A01C23/00</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F (specific/detailed prompt with 31 conditions)</w:t>
            </w:r>
          </w:p>
        </w:tc>
        <w:tc>
          <w:tcPr>
            <w:tcW w:type="dxa" w:w="7000"/>
            <w:tcBorders>
              <w:top w:val="single" w:color="999999" w:sz="4"/>
              <w:left w:val="single" w:color="999999" w:sz="4"/>
              <w:bottom w:val="single" w:color="999999" w:sz="4"/>
              <w:right w:val="single" w:color="999999" w:sz="4"/>
            </w:tcBorders>
          </w:tcPr>
          <w:p>
            <w:pPr>
              <w:spacing w:after="60"/>
            </w:pPr>
            <w:r>
              <w:t xml:space="preserve">B64U20/50, B64U30/20, B64U50/19, B64U50/30, B64U60/50, C12M1/00, B01F33/00, B05B1/34, G05D1/10, G06V20/10</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F (general prompt)</w:t>
            </w:r>
          </w:p>
        </w:tc>
        <w:tc>
          <w:tcPr>
            <w:tcW w:type="dxa" w:w="7000"/>
            <w:tcBorders>
              <w:top w:val="single" w:color="999999" w:sz="4"/>
              <w:left w:val="single" w:color="999999" w:sz="4"/>
              <w:bottom w:val="single" w:color="999999" w:sz="4"/>
              <w:right w:val="single" w:color="999999" w:sz="4"/>
            </w:tcBorders>
          </w:tcPr>
          <w:p>
            <w:pPr>
              <w:spacing w:after="60"/>
            </w:pPr>
            <w:r>
              <w:t xml:space="preserve">A01M7/00, B64U10/14, B64U20/87, B64U50/37, B64C39/02, A01N63/00, B65D81/32, G06V20/10, G05D1/10, G01S19/42</w:t>
            </w:r>
          </w:p>
        </w:tc>
      </w:tr>
      <w:tr>
        <w:tc>
          <w:tcPr>
            <w:tcW w:type="dxa" w:w="2300"/>
            <w:tcBorders>
              <w:top w:val="single" w:color="999999" w:sz="4"/>
              <w:left w:val="single" w:color="999999" w:sz="4"/>
              <w:bottom w:val="single" w:color="999999" w:sz="4"/>
              <w:right w:val="single" w:color="999999" w:sz="4"/>
            </w:tcBorders>
          </w:tcPr>
          <w:p>
            <w:pPr>
              <w:spacing w:after="60"/>
            </w:pPr>
            <w:r>
              <w:t xml:space="preserve">AI Tool G</w:t>
            </w:r>
          </w:p>
        </w:tc>
        <w:tc>
          <w:tcPr>
            <w:tcW w:type="dxa" w:w="7000"/>
            <w:tcBorders>
              <w:top w:val="single" w:color="999999" w:sz="4"/>
              <w:left w:val="single" w:color="999999" w:sz="4"/>
              <w:bottom w:val="single" w:color="999999" w:sz="4"/>
              <w:right w:val="single" w:color="999999" w:sz="4"/>
            </w:tcBorders>
          </w:tcPr>
          <w:p>
            <w:pPr>
              <w:spacing w:after="60"/>
            </w:pPr>
            <w:r>
              <w:t xml:space="preserve">A01G25/00, B64C39/02, A01N63/02, A01M7/00, B64C27/00, A01G25/06</w:t>
            </w:r>
          </w:p>
        </w:tc>
      </w:tr>
      <w:tr>
        <w:tc>
          <w:tcPr>
            <w:tcW w:type="dxa" w:w="2300"/>
            <w:tcBorders>
              <w:top w:val="single" w:color="999999" w:sz="4"/>
              <w:left w:val="single" w:color="999999" w:sz="4"/>
              <w:bottom w:val="single" w:color="999999" w:sz="4"/>
              <w:right w:val="single" w:color="999999" w:sz="4"/>
            </w:tcBorders>
          </w:tcPr>
          <w:p>
            <w:pPr>
              <w:spacing w:after="60"/>
            </w:pPr>
            <w:r>
              <w:t xml:space="preserve">Manually assigned CPC</w:t>
            </w:r>
          </w:p>
        </w:tc>
        <w:tc>
          <w:tcPr>
            <w:tcW w:type="dxa" w:w="7000"/>
            <w:tcBorders>
              <w:top w:val="single" w:color="999999" w:sz="4"/>
              <w:left w:val="single" w:color="999999" w:sz="4"/>
              <w:bottom w:val="single" w:color="999999" w:sz="4"/>
              <w:right w:val="single" w:color="999999" w:sz="4"/>
            </w:tcBorders>
          </w:tcPr>
          <w:p>
            <w:pPr>
              <w:spacing w:after="60"/>
            </w:pPr>
            <w:r>
              <w:t xml:space="preserve">B64U2101/45, B64U10/14, A01M7/00, B64D1/16, B64U2101/40, G06T7/00, G05D1/00, A01C23/00</w:t>
            </w:r>
          </w:p>
        </w:tc>
      </w:tr>
      <w:tr>
        <w:tc>
          <w:tcPr>
            <w:tcW w:type="dxa" w:w="2300"/>
            <w:tcBorders>
              <w:top w:val="single" w:color="999999" w:sz="4"/>
              <w:left w:val="single" w:color="999999" w:sz="4"/>
              <w:bottom w:val="single" w:color="999999" w:sz="4"/>
              <w:right w:val="single" w:color="999999" w:sz="4"/>
            </w:tcBorders>
          </w:tcPr>
          <w:p>
            <w:pPr>
              <w:spacing w:after="60"/>
            </w:pPr>
            <w:r>
              <w:t xml:space="preserve">Manually assigned IPC</w:t>
            </w:r>
          </w:p>
        </w:tc>
        <w:tc>
          <w:tcPr>
            <w:tcW w:type="dxa" w:w="7000"/>
            <w:tcBorders>
              <w:top w:val="single" w:color="999999" w:sz="4"/>
              <w:left w:val="single" w:color="999999" w:sz="4"/>
              <w:bottom w:val="single" w:color="999999" w:sz="4"/>
              <w:right w:val="single" w:color="999999" w:sz="4"/>
            </w:tcBorders>
          </w:tcPr>
          <w:p>
            <w:pPr>
              <w:spacing w:after="60"/>
            </w:pPr>
            <w:r>
              <w:t xml:space="preserve">B64U30/293, B64U10/14, B64U50/19, B64U2101/45, A01M7/0085, C05F11/08, B64D1/18, B05B1/02, B64U50/30, B64D27/357, A01M7/0089, G06T2207/20084</w:t>
            </w:r>
          </w:p>
        </w:tc>
      </w:tr>
    </w:tbl>
    <w:p>
      <w:pPr>
        <w:spacing w:after="200"/>
      </w:pPr>
      <w:r>
        <w:rPr>
          <w:b w:val="false"/>
          <w:bCs w:val="false"/>
          <w:i w:val="false"/>
          <w:iCs w:val="false"/>
        </w:rPr>
        <w:t xml:space="preserve">(Note: codes shown in red in the original source, denoting classifications assessed as irrelevant, could not be distinguished by colour in this accessible version; several of the codes above were flagged as irrelevant in the source document.)</w:t>
      </w:r>
    </w:p>
    <w:p>
      <w:pPr>
        <w:pStyle w:val="Heading3"/>
      </w:pPr>
      <w:r>
        <w:t xml:space="preserve">Example 2</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1100"/>
        <w:gridCol w:w="2050"/>
        <w:gridCol w:w="2050"/>
        <w:gridCol w:w="2050"/>
        <w:gridCol w:w="2050"/>
      </w:tblGrid>
      <w:tr>
        <w:trPr>
          <w:tblHeader/>
        </w:trPr>
        <w:tc>
          <w:tcPr>
            <w:tcW w:type="dxa" w:w="1100"/>
            <w:tcBorders>
              <w:top w:val="single" w:color="999999" w:sz="4"/>
              <w:left w:val="single" w:color="999999" w:sz="4"/>
              <w:bottom w:val="single" w:color="999999" w:sz="4"/>
              <w:right w:val="single" w:color="999999" w:sz="4"/>
            </w:tcBorders>
            <w:shd w:fill="D9E2F3" w:val="clear"/>
          </w:tcPr>
          <w:p>
            <w:r>
              <w:rPr>
                <w:b/>
                <w:bCs/>
              </w:rPr>
              <w:t xml:space="preserve">S. No. / Application number</w:t>
            </w:r>
          </w:p>
        </w:tc>
        <w:tc>
          <w:tcPr>
            <w:tcW w:type="dxa" w:w="2050"/>
            <w:tcBorders>
              <w:top w:val="single" w:color="999999" w:sz="4"/>
              <w:left w:val="single" w:color="999999" w:sz="4"/>
              <w:bottom w:val="single" w:color="999999" w:sz="4"/>
              <w:right w:val="single" w:color="999999" w:sz="4"/>
            </w:tcBorders>
            <w:shd w:fill="D9E2F3" w:val="clear"/>
          </w:tcPr>
          <w:p>
            <w:r>
              <w:rPr>
                <w:b/>
                <w:bCs/>
              </w:rPr>
              <w:t xml:space="preserve">Gen AI model 1 (free version)</w:t>
            </w:r>
          </w:p>
        </w:tc>
        <w:tc>
          <w:tcPr>
            <w:tcW w:type="dxa" w:w="2050"/>
            <w:tcBorders>
              <w:top w:val="single" w:color="999999" w:sz="4"/>
              <w:left w:val="single" w:color="999999" w:sz="4"/>
              <w:bottom w:val="single" w:color="999999" w:sz="4"/>
              <w:right w:val="single" w:color="999999" w:sz="4"/>
            </w:tcBorders>
            <w:shd w:fill="D9E2F3" w:val="clear"/>
          </w:tcPr>
          <w:p>
            <w:r>
              <w:rPr>
                <w:b/>
                <w:bCs/>
              </w:rPr>
              <w:t xml:space="preserve">Gen AI model 2 (free version)</w:t>
            </w:r>
          </w:p>
        </w:tc>
        <w:tc>
          <w:tcPr>
            <w:tcW w:type="dxa" w:w="2050"/>
            <w:tcBorders>
              <w:top w:val="single" w:color="999999" w:sz="4"/>
              <w:left w:val="single" w:color="999999" w:sz="4"/>
              <w:bottom w:val="single" w:color="999999" w:sz="4"/>
              <w:right w:val="single" w:color="999999" w:sz="4"/>
            </w:tcBorders>
            <w:shd w:fill="D9E2F3" w:val="clear"/>
          </w:tcPr>
          <w:p>
            <w:r>
              <w:rPr>
                <w:b/>
                <w:bCs/>
              </w:rPr>
              <w:t xml:space="preserve">Gen AI model 3 (free version)</w:t>
            </w:r>
          </w:p>
        </w:tc>
        <w:tc>
          <w:tcPr>
            <w:tcW w:type="dxa" w:w="2050"/>
            <w:tcBorders>
              <w:top w:val="single" w:color="999999" w:sz="4"/>
              <w:left w:val="single" w:color="999999" w:sz="4"/>
              <w:bottom w:val="single" w:color="999999" w:sz="4"/>
              <w:right w:val="single" w:color="999999" w:sz="4"/>
            </w:tcBorders>
            <w:shd w:fill="D9E2F3" w:val="clear"/>
          </w:tcPr>
          <w:p>
            <w:r>
              <w:rPr>
                <w:b/>
                <w:bCs/>
              </w:rPr>
              <w:t xml:space="preserve">IPC assigned manually by Classification team</w:t>
            </w:r>
          </w:p>
        </w:tc>
      </w:tr>
      <w:tr>
        <w:tc>
          <w:tcPr>
            <w:tcW w:type="dxa" w:w="1100"/>
            <w:tcBorders>
              <w:top w:val="single" w:color="999999" w:sz="4"/>
              <w:left w:val="single" w:color="999999" w:sz="4"/>
              <w:bottom w:val="single" w:color="999999" w:sz="4"/>
              <w:right w:val="single" w:color="999999" w:sz="4"/>
            </w:tcBorders>
          </w:tcPr>
          <w:p>
            <w:pPr>
              <w:spacing w:after="60"/>
            </w:pPr>
            <w:r>
              <w:t xml:space="preserve">1. 20251110XXXX</w:t>
            </w:r>
          </w:p>
        </w:tc>
        <w:tc>
          <w:tcPr>
            <w:tcW w:type="dxa" w:w="2050"/>
            <w:tcBorders>
              <w:top w:val="single" w:color="999999" w:sz="4"/>
              <w:left w:val="single" w:color="999999" w:sz="4"/>
              <w:bottom w:val="single" w:color="999999" w:sz="4"/>
              <w:right w:val="single" w:color="999999" w:sz="4"/>
            </w:tcBorders>
          </w:tcPr>
          <w:p>
            <w:pPr>
              <w:spacing w:after="60"/>
            </w:pPr>
            <w:r>
              <w:t xml:space="preserve">C22B19/32, C22B1/00, C22C1/02, C22B19/30, C22B7/00, C23G1/02</w:t>
            </w:r>
          </w:p>
        </w:tc>
        <w:tc>
          <w:tcPr>
            <w:tcW w:type="dxa" w:w="2050"/>
            <w:tcBorders>
              <w:top w:val="single" w:color="999999" w:sz="4"/>
              <w:left w:val="single" w:color="999999" w:sz="4"/>
              <w:bottom w:val="single" w:color="999999" w:sz="4"/>
              <w:right w:val="single" w:color="999999" w:sz="4"/>
            </w:tcBorders>
          </w:tcPr>
          <w:p>
            <w:pPr>
              <w:spacing w:after="60"/>
            </w:pPr>
            <w:r>
              <w:t xml:space="preserve">B22D21/00, C22B9/16, C23F13/14, C22B7/00, C22B19/30, C22B19/28</w:t>
            </w:r>
          </w:p>
        </w:tc>
        <w:tc>
          <w:tcPr>
            <w:tcW w:type="dxa" w:w="2050"/>
            <w:tcBorders>
              <w:top w:val="single" w:color="999999" w:sz="4"/>
              <w:left w:val="single" w:color="999999" w:sz="4"/>
              <w:bottom w:val="single" w:color="999999" w:sz="4"/>
              <w:right w:val="single" w:color="999999" w:sz="4"/>
            </w:tcBorders>
          </w:tcPr>
          <w:p>
            <w:pPr>
              <w:spacing w:after="60"/>
            </w:pPr>
            <w:r>
              <w:t xml:space="preserve">B22D25/00, B22D11/00, C23G1/00, C23G1/08</w:t>
            </w:r>
          </w:p>
        </w:tc>
        <w:tc>
          <w:tcPr>
            <w:tcW w:type="dxa" w:w="2050"/>
            <w:tcBorders>
              <w:top w:val="single" w:color="999999" w:sz="4"/>
              <w:left w:val="single" w:color="999999" w:sz="4"/>
              <w:bottom w:val="single" w:color="999999" w:sz="4"/>
              <w:right w:val="single" w:color="999999" w:sz="4"/>
            </w:tcBorders>
          </w:tcPr>
          <w:p>
            <w:pPr>
              <w:spacing w:after="60"/>
            </w:pPr>
            <w:r>
              <w:t xml:space="preserve">C22B19/30, C22B7/00, C22B3/04, B22D21/02</w:t>
            </w:r>
          </w:p>
        </w:tc>
      </w:tr>
      <w:tr>
        <w:tc>
          <w:tcPr>
            <w:tcW w:type="dxa" w:w="1100"/>
            <w:tcBorders>
              <w:top w:val="single" w:color="999999" w:sz="4"/>
              <w:left w:val="single" w:color="999999" w:sz="4"/>
              <w:bottom w:val="single" w:color="999999" w:sz="4"/>
              <w:right w:val="single" w:color="999999" w:sz="4"/>
            </w:tcBorders>
          </w:tcPr>
          <w:p>
            <w:pPr>
              <w:spacing w:after="60"/>
            </w:pPr>
            <w:r>
              <w:t xml:space="preserve">2. 20254110XXXX</w:t>
            </w:r>
          </w:p>
        </w:tc>
        <w:tc>
          <w:tcPr>
            <w:tcW w:type="dxa" w:w="2050"/>
            <w:tcBorders>
              <w:top w:val="single" w:color="999999" w:sz="4"/>
              <w:left w:val="single" w:color="999999" w:sz="4"/>
              <w:bottom w:val="single" w:color="999999" w:sz="4"/>
              <w:right w:val="single" w:color="999999" w:sz="4"/>
            </w:tcBorders>
          </w:tcPr>
          <w:p>
            <w:pPr>
              <w:spacing w:after="60"/>
            </w:pPr>
            <w:r>
              <w:t xml:space="preserve">Primary: B82Y30/00, C01G49/06, C01B32/184, C01B32/158. Secondary: B01J13/00, B01J23/745, B01J19/08, B03C1/00</w:t>
            </w:r>
          </w:p>
        </w:tc>
        <w:tc>
          <w:tcPr>
            <w:tcW w:type="dxa" w:w="2050"/>
            <w:tcBorders>
              <w:top w:val="single" w:color="999999" w:sz="4"/>
              <w:left w:val="single" w:color="999999" w:sz="4"/>
              <w:bottom w:val="single" w:color="999999" w:sz="4"/>
              <w:right w:val="single" w:color="999999" w:sz="4"/>
            </w:tcBorders>
          </w:tcPr>
          <w:p>
            <w:pPr>
              <w:spacing w:after="60"/>
            </w:pPr>
            <w:r>
              <w:t xml:space="preserve">Primary: B82Y30/00, C01G49/08, C01B32/15, H01F1/00. Secondary: C01B32/198, B82Y40/00, C01B32/194, B01J13/00, B03C1/00</w:t>
            </w:r>
          </w:p>
        </w:tc>
        <w:tc>
          <w:tcPr>
            <w:tcW w:type="dxa" w:w="2050"/>
            <w:tcBorders>
              <w:top w:val="single" w:color="999999" w:sz="4"/>
              <w:left w:val="single" w:color="999999" w:sz="4"/>
              <w:bottom w:val="single" w:color="999999" w:sz="4"/>
              <w:right w:val="single" w:color="999999" w:sz="4"/>
            </w:tcBorders>
          </w:tcPr>
          <w:p>
            <w:pPr>
              <w:spacing w:after="60"/>
            </w:pPr>
            <w:r>
              <w:t xml:space="preserve">Primary: C01G49/08 or C01G49/00. Secondary: C01B32/182, C01B32/158, C01B32/168, B82Y30/00, B82Y40/00, H01F1/44</w:t>
            </w:r>
          </w:p>
        </w:tc>
        <w:tc>
          <w:tcPr>
            <w:tcW w:type="dxa" w:w="2050"/>
            <w:tcBorders>
              <w:top w:val="single" w:color="999999" w:sz="4"/>
              <w:left w:val="single" w:color="999999" w:sz="4"/>
              <w:bottom w:val="single" w:color="999999" w:sz="4"/>
              <w:right w:val="single" w:color="999999" w:sz="4"/>
            </w:tcBorders>
          </w:tcPr>
          <w:p>
            <w:pPr>
              <w:spacing w:after="60"/>
            </w:pPr>
            <w:r>
              <w:t xml:space="preserve">B82Y30/00, C01G49/08, H01F41/30, B82Y40/00, C01B32/15</w:t>
            </w:r>
          </w:p>
        </w:tc>
      </w:tr>
      <w:tr>
        <w:tc>
          <w:tcPr>
            <w:tcW w:type="dxa" w:w="1100"/>
            <w:tcBorders>
              <w:top w:val="single" w:color="999999" w:sz="4"/>
              <w:left w:val="single" w:color="999999" w:sz="4"/>
              <w:bottom w:val="single" w:color="999999" w:sz="4"/>
              <w:right w:val="single" w:color="999999" w:sz="4"/>
            </w:tcBorders>
          </w:tcPr>
          <w:p>
            <w:pPr>
              <w:spacing w:after="60"/>
            </w:pPr>
            <w:r>
              <w:t xml:space="preserve">3. 20252102XXXX</w:t>
            </w:r>
          </w:p>
        </w:tc>
        <w:tc>
          <w:tcPr>
            <w:tcW w:type="dxa" w:w="2050"/>
            <w:tcBorders>
              <w:top w:val="single" w:color="999999" w:sz="4"/>
              <w:left w:val="single" w:color="999999" w:sz="4"/>
              <w:bottom w:val="single" w:color="999999" w:sz="4"/>
              <w:right w:val="single" w:color="999999" w:sz="4"/>
            </w:tcBorders>
          </w:tcPr>
          <w:p>
            <w:pPr>
              <w:spacing w:after="60"/>
            </w:pPr>
            <w:r>
              <w:t xml:space="preserve">Primary: C02F3/02, C02F1/44, C02F1/52. Secondary: B01D24/00, B01D35/02, C02F3/20</w:t>
            </w:r>
          </w:p>
        </w:tc>
        <w:tc>
          <w:tcPr>
            <w:tcW w:type="dxa" w:w="2050"/>
            <w:tcBorders>
              <w:top w:val="single" w:color="999999" w:sz="4"/>
              <w:left w:val="single" w:color="999999" w:sz="4"/>
              <w:bottom w:val="single" w:color="999999" w:sz="4"/>
              <w:right w:val="single" w:color="999999" w:sz="4"/>
            </w:tcBorders>
          </w:tcPr>
          <w:p>
            <w:pPr>
              <w:spacing w:after="60"/>
            </w:pPr>
            <w:r>
              <w:t xml:space="preserve">Primary: C02F3/04, B01D24/14, C02F9/00. Secondary: C02F3/20, B01D24/46, C02F1/00, B01D24/10, C02F103/00</w:t>
            </w:r>
          </w:p>
        </w:tc>
        <w:tc>
          <w:tcPr>
            <w:tcW w:type="dxa" w:w="2050"/>
            <w:tcBorders>
              <w:top w:val="single" w:color="999999" w:sz="4"/>
              <w:left w:val="single" w:color="999999" w:sz="4"/>
              <w:bottom w:val="single" w:color="999999" w:sz="4"/>
              <w:right w:val="single" w:color="999999" w:sz="4"/>
            </w:tcBorders>
          </w:tcPr>
          <w:p>
            <w:pPr>
              <w:spacing w:after="60"/>
            </w:pPr>
            <w:r>
              <w:t xml:space="preserve">Primary: C02F3/02. Secondary: C02F3/06 or C02F3/10, C02F1/00, C02F1/001, C02F1/74, B01D24/00</w:t>
            </w:r>
          </w:p>
        </w:tc>
        <w:tc>
          <w:tcPr>
            <w:tcW w:type="dxa" w:w="2050"/>
            <w:tcBorders>
              <w:top w:val="single" w:color="999999" w:sz="4"/>
              <w:left w:val="single" w:color="999999" w:sz="4"/>
              <w:bottom w:val="single" w:color="999999" w:sz="4"/>
              <w:right w:val="single" w:color="999999" w:sz="4"/>
            </w:tcBorders>
          </w:tcPr>
          <w:p>
            <w:pPr>
              <w:spacing w:after="60"/>
            </w:pPr>
            <w:r>
              <w:t xml:space="preserve">C02F1/006, C02F1/74, C02F1/001, B01D2101/04, B01D21/0033</w:t>
            </w:r>
          </w:p>
        </w:tc>
      </w:tr>
    </w:tbl>
    <w:p>
      <w:pPr>
        <w:spacing w:after="200"/>
      </w:pPr>
      <w:r>
        <w:rPr>
          <w:b w:val="false"/>
          <w:bCs w:val="false"/>
          <w:i w:val="false"/>
          <w:iCs w:val="false"/>
        </w:rPr>
        <w:t xml:space="preserve">Observations from Examples 1 and 2:</w:t>
      </w:r>
    </w:p>
    <w:p>
      <w:pPr>
        <w:pStyle w:val="ListParagraph"/>
        <w:numPr>
          <w:ilvl w:val="0"/>
          <w:numId w:val="2"/>
        </w:numPr>
        <w:spacing w:after="100"/>
      </w:pPr>
      <w:r>
        <w:t xml:space="preserve">The IPC suggestions are model-sensitive, both in terms of the number of symbols suggested and the technical direction reflected in such suggestions, and show a degree of inconsistency across models for the same application.</w:t>
      </w:r>
    </w:p>
    <w:p>
      <w:pPr>
        <w:pStyle w:val="ListParagraph"/>
        <w:numPr>
          <w:ilvl w:val="0"/>
          <w:numId w:val="2"/>
        </w:numPr>
        <w:spacing w:after="100"/>
      </w:pPr>
      <w:r>
        <w:t xml:space="preserve">The IPC suggestions generated by GenAI models are, in some cases, close to the IPCs assigned manually by the Classification Team, but they are not identical.</w:t>
      </w:r>
    </w:p>
    <w:p>
      <w:pPr>
        <w:pStyle w:val="ListParagraph"/>
        <w:numPr>
          <w:ilvl w:val="0"/>
          <w:numId w:val="2"/>
        </w:numPr>
        <w:spacing w:after="100"/>
      </w:pPr>
      <w:r>
        <w:t xml:space="preserve">Although based on a limited sample, the comparison indicates that human judgment continues to remain necessary in each case, because final classification requires a considered reading of the claims and specification and identification of the most appropriate technical focus of the invention.</w:t>
      </w:r>
    </w:p>
    <w:p>
      <w:pPr>
        <w:pStyle w:val="ListParagraph"/>
        <w:numPr>
          <w:ilvl w:val="0"/>
          <w:numId w:val="2"/>
        </w:numPr>
        <w:spacing w:after="100"/>
      </w:pPr>
      <w:r>
        <w:t xml:space="preserve">Where the suggested classification lacks precision, if relied upon without human oversight, it can potentially affect the quality of search and examination since it may either broaden the search unnecessarily or divert it towards a different technical direction.</w:t>
      </w:r>
    </w:p>
    <w:p>
      <w:pPr>
        <w:pStyle w:val="Heading2"/>
      </w:pPr>
      <w:r>
        <w:t xml:space="preserve">1.2 Use of AI for generating search terms and concept clusters</w:t>
      </w:r>
    </w:p>
    <w:p>
      <w:pPr>
        <w:spacing w:after="200"/>
      </w:pPr>
      <w:r>
        <w:rPr>
          <w:b w:val="false"/>
          <w:bCs w:val="false"/>
          <w:i w:val="false"/>
          <w:iCs w:val="false"/>
        </w:rPr>
        <w:t xml:space="preserve">An Examiner may use AI to generate synonyms, abbreviations, related technical expressions, alternative spellings, and concept clusters for a claimed invention. This helps in broadening a search by identifying related technical expressions, synonyms, variant terminologies and closely connected concepts around the claimed subject matter, which is useful since terminology varies across patent literature, standards, academic writing, or foreign-language material.</w:t>
      </w:r>
    </w:p>
    <w:p>
      <w:pPr>
        <w:spacing w:after="200"/>
      </w:pPr>
      <w:r>
        <w:rPr>
          <w:b w:val="false"/>
          <w:bCs w:val="false"/>
          <w:i w:val="false"/>
          <w:iCs w:val="false"/>
        </w:rPr>
        <w:t xml:space="preserve">The benefit is that AI may widen the officer’s search vocabulary and help identify related terminology more quickly, supporting efficiency and search completeness. But AI may also suggest terms that are technically adjacent but legally irrelevant, over-broaden the search by mixing different technologies under a superficial common label, or over-narrow the search by assuming that one term is equivalent to another when the claim language is more specific. In a chemical, pharmaceutical, or materials case, one wrong synonym may introduce large amounts of irrelevant art or, worse, exclude relevant prior art.</w:t>
      </w:r>
    </w:p>
    <w:p>
      <w:pPr>
        <w:spacing w:after="200"/>
      </w:pPr>
      <w:r>
        <w:rPr>
          <w:b w:val="false"/>
          <w:bCs w:val="false"/>
          <w:i w:val="false"/>
          <w:iCs w:val="false"/>
        </w:rPr>
        <w:t xml:space="preserve">The safeguard is that AI-generated search terms should only be a starting aid. The Examiner must construct the final search strategy and test and refine the terms using the claim language, the specification, classification symbols, and the actual search results.</w:t>
      </w:r>
    </w:p>
    <w:p>
      <w:pPr>
        <w:pStyle w:val="Heading3"/>
      </w:pPr>
      <w:r>
        <w:t xml:space="preserve">Illustrative claim used for the exercise</w:t>
      </w:r>
    </w:p>
    <w:p>
      <w:pPr>
        <w:spacing w:after="200"/>
      </w:pPr>
      <w:r>
        <w:rPr>
          <w:b w:val="false"/>
          <w:bCs w:val="false"/>
          <w:i w:val="false"/>
          <w:iCs w:val="false"/>
        </w:rPr>
        <w:t xml:space="preserve">A water treatment composition for removal of arsenic from contaminated water, the composition comprising activated carbon supporting magnetic iron oxide nanoparticles, wherein the magnetic iron oxide nanoparticles have an average particle size of 10 nm to 30 nm, and wherein the composition is adapted to adsorb arsenic species present in the contaminated water.</w:t>
      </w:r>
    </w:p>
    <w:p>
      <w:pPr>
        <w:spacing w:after="200"/>
      </w:pPr>
      <w:r>
        <w:rPr>
          <w:b w:val="false"/>
          <w:bCs w:val="false"/>
          <w:i w:val="false"/>
          <w:iCs w:val="false"/>
        </w:rPr>
        <w:t xml:space="preserve">Purpose: to examine whether GenAI models may assist an Examiner in generating an initial search vocabulary for prior-art search, and to observe the extent to which different models converge or diverge in the search terms suggested for the same claim. The GenAI models were asked to generate search terminology under the following heads: core search terms; near synonyms; related technical expressions; broader exploratory terms; and terms to avoid (because they may misdirect the search).</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1700"/>
        <w:gridCol w:w="3800"/>
        <w:gridCol w:w="3800"/>
      </w:tblGrid>
      <w:tr>
        <w:trPr>
          <w:tblHeader/>
        </w:trPr>
        <w:tc>
          <w:tcPr>
            <w:tcW w:type="dxa" w:w="1700"/>
            <w:tcBorders>
              <w:top w:val="single" w:color="999999" w:sz="4"/>
              <w:left w:val="single" w:color="999999" w:sz="4"/>
              <w:bottom w:val="single" w:color="999999" w:sz="4"/>
              <w:right w:val="single" w:color="999999" w:sz="4"/>
            </w:tcBorders>
            <w:shd w:fill="D9E2F3" w:val="clear"/>
          </w:tcPr>
          <w:p>
            <w:r>
              <w:rPr>
                <w:b/>
                <w:bCs/>
              </w:rPr>
              <w:t xml:space="preserve">Head</w:t>
            </w:r>
          </w:p>
        </w:tc>
        <w:tc>
          <w:tcPr>
            <w:tcW w:type="dxa" w:w="3800"/>
            <w:tcBorders>
              <w:top w:val="single" w:color="999999" w:sz="4"/>
              <w:left w:val="single" w:color="999999" w:sz="4"/>
              <w:bottom w:val="single" w:color="999999" w:sz="4"/>
              <w:right w:val="single" w:color="999999" w:sz="4"/>
            </w:tcBorders>
            <w:shd w:fill="D9E2F3" w:val="clear"/>
          </w:tcPr>
          <w:p>
            <w:r>
              <w:rPr>
                <w:b/>
                <w:bCs/>
              </w:rPr>
              <w:t xml:space="preserve">GenAI 1</w:t>
            </w:r>
          </w:p>
        </w:tc>
        <w:tc>
          <w:tcPr>
            <w:tcW w:type="dxa" w:w="3800"/>
            <w:tcBorders>
              <w:top w:val="single" w:color="999999" w:sz="4"/>
              <w:left w:val="single" w:color="999999" w:sz="4"/>
              <w:bottom w:val="single" w:color="999999" w:sz="4"/>
              <w:right w:val="single" w:color="999999" w:sz="4"/>
            </w:tcBorders>
            <w:shd w:fill="D9E2F3" w:val="clear"/>
          </w:tcPr>
          <w:p>
            <w:r>
              <w:rPr>
                <w:b/>
                <w:bCs/>
              </w:rPr>
              <w:t xml:space="preserve">GenAI 2</w:t>
            </w:r>
          </w:p>
        </w:tc>
      </w:tr>
      <w:tr>
        <w:tc>
          <w:tcPr>
            <w:tcW w:type="dxa" w:w="1700"/>
            <w:tcBorders>
              <w:top w:val="single" w:color="999999" w:sz="4"/>
              <w:left w:val="single" w:color="999999" w:sz="4"/>
              <w:bottom w:val="single" w:color="999999" w:sz="4"/>
              <w:right w:val="single" w:color="999999" w:sz="4"/>
            </w:tcBorders>
          </w:tcPr>
          <w:p>
            <w:pPr>
              <w:spacing w:after="60"/>
            </w:pPr>
            <w:r>
              <w:t xml:space="preserve">Core search terms</w:t>
            </w:r>
          </w:p>
        </w:tc>
        <w:tc>
          <w:tcPr>
            <w:tcW w:type="dxa" w:w="3800"/>
            <w:tcBorders>
              <w:top w:val="single" w:color="999999" w:sz="4"/>
              <w:left w:val="single" w:color="999999" w:sz="4"/>
              <w:bottom w:val="single" w:color="999999" w:sz="4"/>
              <w:right w:val="single" w:color="999999" w:sz="4"/>
            </w:tcBorders>
          </w:tcPr>
          <w:p>
            <w:pPr>
              <w:spacing w:after="60"/>
            </w:pPr>
            <w:r>
              <w:t xml:space="preserve">Arsenic removal / arsenic adsorption; water treatment composition; activated carbon supported nanoparticles; magnetic iron oxide nanoparticles; Fe3O4 nanoparticles / magnetite nanoparticles; arsenic adsorbent material; nanoparticle-based water purification; magnetic adsorbent for arsenic; arsenic-contaminated water treatment</w:t>
            </w:r>
          </w:p>
        </w:tc>
        <w:tc>
          <w:tcPr>
            <w:tcW w:type="dxa" w:w="3800"/>
            <w:tcBorders>
              <w:top w:val="single" w:color="999999" w:sz="4"/>
              <w:left w:val="single" w:color="999999" w:sz="4"/>
              <w:bottom w:val="single" w:color="999999" w:sz="4"/>
              <w:right w:val="single" w:color="999999" w:sz="4"/>
            </w:tcBorders>
          </w:tcPr>
          <w:p>
            <w:pPr>
              <w:spacing w:after="60"/>
            </w:pPr>
            <w:r>
              <w:t xml:space="preserve">Activated carbon (or AC, GAC, PAC); magnetic iron oxide nanoparticles; arsenic removal (or arsenic adsorption); composite adsorbent; superparamagnetic</w:t>
            </w:r>
          </w:p>
        </w:tc>
      </w:tr>
      <w:tr>
        <w:tc>
          <w:tcPr>
            <w:tcW w:type="dxa" w:w="1700"/>
            <w:tcBorders>
              <w:top w:val="single" w:color="999999" w:sz="4"/>
              <w:left w:val="single" w:color="999999" w:sz="4"/>
              <w:bottom w:val="single" w:color="999999" w:sz="4"/>
              <w:right w:val="single" w:color="999999" w:sz="4"/>
            </w:tcBorders>
          </w:tcPr>
          <w:p>
            <w:pPr>
              <w:spacing w:after="60"/>
            </w:pPr>
            <w:r>
              <w:t xml:space="preserve">Near synonyms</w:t>
            </w:r>
          </w:p>
        </w:tc>
        <w:tc>
          <w:tcPr>
            <w:tcW w:type="dxa" w:w="3800"/>
            <w:tcBorders>
              <w:top w:val="single" w:color="999999" w:sz="4"/>
              <w:left w:val="single" w:color="999999" w:sz="4"/>
              <w:bottom w:val="single" w:color="999999" w:sz="4"/>
              <w:right w:val="single" w:color="999999" w:sz="4"/>
            </w:tcBorders>
          </w:tcPr>
          <w:p>
            <w:pPr>
              <w:spacing w:after="60"/>
            </w:pPr>
            <w:r>
              <w:t xml:space="preserve">Arsenic remediation / arsenic decontamination; arsenic sorption / arsenic uptake; carbon-supported iron oxide nanoparticles; iron oxide nanocomposites; magnetite / maghemite nanoparticles; magnetic nanoadsorbents; carbon-based adsorbents; nano-adsorbent systems; hybrid adsorbent materials; supported nanomaterials for water purification</w:t>
            </w:r>
          </w:p>
        </w:tc>
        <w:tc>
          <w:tcPr>
            <w:tcW w:type="dxa" w:w="3800"/>
            <w:tcBorders>
              <w:top w:val="single" w:color="999999" w:sz="4"/>
              <w:left w:val="single" w:color="999999" w:sz="4"/>
              <w:bottom w:val="single" w:color="999999" w:sz="4"/>
              <w:right w:val="single" w:color="999999" w:sz="4"/>
            </w:tcBorders>
          </w:tcPr>
          <w:p>
            <w:pPr>
              <w:spacing w:after="60"/>
            </w:pPr>
            <w:r>
              <w:t xml:space="preserve">Iron oxide: magnetite (Fe3O4), maghemite (gamma-Fe2O3), ferrite. Activated carbon: charcoal, activated coal, biochar (if applicable), carbonaceous support. Nanoparticles: nanocrystals, nanopowders, nanostructures, sub-micron particles. Adsorb: scavenge, sequester, capture, remediate.</w:t>
            </w:r>
          </w:p>
        </w:tc>
      </w:tr>
      <w:tr>
        <w:tc>
          <w:tcPr>
            <w:tcW w:type="dxa" w:w="1700"/>
            <w:tcBorders>
              <w:top w:val="single" w:color="999999" w:sz="4"/>
              <w:left w:val="single" w:color="999999" w:sz="4"/>
              <w:bottom w:val="single" w:color="999999" w:sz="4"/>
              <w:right w:val="single" w:color="999999" w:sz="4"/>
            </w:tcBorders>
          </w:tcPr>
          <w:p>
            <w:pPr>
              <w:spacing w:after="60"/>
            </w:pPr>
            <w:r>
              <w:t xml:space="preserve">Related technical expressions</w:t>
            </w:r>
          </w:p>
        </w:tc>
        <w:tc>
          <w:tcPr>
            <w:tcW w:type="dxa" w:w="3800"/>
            <w:tcBorders>
              <w:top w:val="single" w:color="999999" w:sz="4"/>
              <w:left w:val="single" w:color="999999" w:sz="4"/>
              <w:bottom w:val="single" w:color="999999" w:sz="4"/>
              <w:right w:val="single" w:color="999999" w:sz="4"/>
            </w:tcBorders>
          </w:tcPr>
          <w:p>
            <w:pPr>
              <w:spacing w:after="60"/>
            </w:pPr>
            <w:r>
              <w:t xml:space="preserve">Surface functionalized activated carbon; nanocomposite adsorbents; magnetic separation of adsorbents; adsorption isotherms (Langmuir, Freundlich); arsenite (As3+) / arsenate (As5+) removal; co-precipitation synthesis of iron oxide nanoparticles; impregnation of activated carbon; surface area enhancement / porosity; pH-dependent adsorption behavior; regeneration of adsorbents</w:t>
            </w:r>
          </w:p>
        </w:tc>
        <w:tc>
          <w:tcPr>
            <w:tcW w:type="dxa" w:w="3800"/>
            <w:tcBorders>
              <w:top w:val="single" w:color="999999" w:sz="4"/>
              <w:left w:val="single" w:color="999999" w:sz="4"/>
              <w:bottom w:val="single" w:color="999999" w:sz="4"/>
              <w:right w:val="single" w:color="999999" w:sz="4"/>
            </w:tcBorders>
          </w:tcPr>
          <w:p>
            <w:pPr>
              <w:spacing w:after="60"/>
            </w:pPr>
            <w:r>
              <w:t xml:space="preserve">Superparamagnetic nanoparticles; solid-liquid separation using magnetic field; surface functionalization; in-situ precipitation; hybrid sorbent; magnetic separation; As(III) and As(V) oxidation/adsorption; pore impregnation</w:t>
            </w:r>
          </w:p>
        </w:tc>
      </w:tr>
      <w:tr>
        <w:tc>
          <w:tcPr>
            <w:tcW w:type="dxa" w:w="1700"/>
            <w:tcBorders>
              <w:top w:val="single" w:color="999999" w:sz="4"/>
              <w:left w:val="single" w:color="999999" w:sz="4"/>
              <w:bottom w:val="single" w:color="999999" w:sz="4"/>
              <w:right w:val="single" w:color="999999" w:sz="4"/>
            </w:tcBorders>
          </w:tcPr>
          <w:p>
            <w:pPr>
              <w:spacing w:after="60"/>
            </w:pPr>
            <w:r>
              <w:t xml:space="preserve">Broader exploratory terms</w:t>
            </w:r>
          </w:p>
        </w:tc>
        <w:tc>
          <w:tcPr>
            <w:tcW w:type="dxa" w:w="3800"/>
            <w:tcBorders>
              <w:top w:val="single" w:color="999999" w:sz="4"/>
              <w:left w:val="single" w:color="999999" w:sz="4"/>
              <w:bottom w:val="single" w:color="999999" w:sz="4"/>
              <w:right w:val="single" w:color="999999" w:sz="4"/>
            </w:tcBorders>
          </w:tcPr>
          <w:p>
            <w:pPr>
              <w:spacing w:after="60"/>
            </w:pPr>
            <w:r>
              <w:t xml:space="preserve">Heavy metal removal from water; groundwater purification technologies; nanotechnology in water treatment; adsorption-based filtration systems; environmental remediation materials</w:t>
            </w:r>
          </w:p>
        </w:tc>
        <w:tc>
          <w:tcPr>
            <w:tcW w:type="dxa" w:w="3800"/>
            <w:tcBorders>
              <w:top w:val="single" w:color="999999" w:sz="4"/>
              <w:left w:val="single" w:color="999999" w:sz="4"/>
              <w:bottom w:val="single" w:color="999999" w:sz="4"/>
              <w:right w:val="single" w:color="999999" w:sz="4"/>
            </w:tcBorders>
          </w:tcPr>
          <w:p>
            <w:pPr>
              <w:spacing w:after="60"/>
            </w:pPr>
            <w:r>
              <w:t xml:space="preserve">Water purification nanomaterials; heavy metal remediation; metal oxide-carbon hybrids; point-of-use (POU) water treatment; magnetic nanocomposites; environmental nanotechnology; metal oxide nanoparticles for wastewater treatment; biochar-supported nanoparticles; composite filtration media; drinking water purification systems; industrial wastewater treatment</w:t>
            </w:r>
          </w:p>
        </w:tc>
      </w:tr>
      <w:tr>
        <w:tc>
          <w:tcPr>
            <w:tcW w:type="dxa" w:w="1700"/>
            <w:tcBorders>
              <w:top w:val="single" w:color="999999" w:sz="4"/>
              <w:left w:val="single" w:color="999999" w:sz="4"/>
              <w:bottom w:val="single" w:color="999999" w:sz="4"/>
              <w:right w:val="single" w:color="999999" w:sz="4"/>
            </w:tcBorders>
          </w:tcPr>
          <w:p>
            <w:pPr>
              <w:spacing w:after="60"/>
            </w:pPr>
            <w:r>
              <w:t xml:space="preserve">Terms to avoid</w:t>
            </w:r>
          </w:p>
        </w:tc>
        <w:tc>
          <w:tcPr>
            <w:tcW w:type="dxa" w:w="3800"/>
            <w:tcBorders>
              <w:top w:val="single" w:color="999999" w:sz="4"/>
              <w:left w:val="single" w:color="999999" w:sz="4"/>
              <w:bottom w:val="single" w:color="999999" w:sz="4"/>
              <w:right w:val="single" w:color="999999" w:sz="4"/>
            </w:tcBorders>
          </w:tcPr>
          <w:p>
            <w:pPr>
              <w:spacing w:after="60"/>
            </w:pPr>
            <w:r>
              <w:t xml:space="preserve">Reverse osmosis (membrane-focused, not adsorption-specific); distillation / desalination (different mechanisms); UV disinfection / chlorination (biological, not arsenic adsorption); organic contaminant removal (unless combined with arsenic); polymer-only adsorbents (without nanoparticles or carbon support); non-magnetic adsorbents (unless for comparison); large bulk iron oxide materials (non-nano scale); air purification or gas adsorption; soil remediation (unless water-linked)</w:t>
            </w:r>
          </w:p>
        </w:tc>
        <w:tc>
          <w:tcPr>
            <w:tcW w:type="dxa" w:w="3800"/>
            <w:tcBorders>
              <w:top w:val="single" w:color="999999" w:sz="4"/>
              <w:left w:val="single" w:color="999999" w:sz="4"/>
              <w:bottom w:val="single" w:color="999999" w:sz="4"/>
              <w:right w:val="single" w:color="999999" w:sz="4"/>
            </w:tcBorders>
          </w:tcPr>
          <w:p>
            <w:pPr>
              <w:spacing w:after="60"/>
            </w:pPr>
            <w:r>
              <w:t xml:space="preserve">“Filtering” or “Filtration”; “iron filings”; “carbon nanotubes” (CNTs); “chelation”; “iron ore”</w:t>
            </w:r>
          </w:p>
        </w:tc>
      </w:tr>
    </w:tbl>
    <w:p>
      <w:pPr>
        <w:spacing w:after="200"/>
      </w:pPr>
      <w:r>
        <w:rPr>
          <w:b w:val="false"/>
          <w:bCs w:val="false"/>
          <w:i w:val="false"/>
          <w:iCs w:val="false"/>
        </w:rPr>
        <w:t xml:space="preserve">Comparative observations: both GenAI models identified the principal technical elements of the claim — activated carbon, magnetic iron oxide nanoparticles, arsenic removal from water, and adsorption-based treatment — but differed in the breadth, structure, and technical direction of the terms suggested. AI-generated search vocabulary is model-sensitive, both in the number of terms suggested and the extent to which the output expands into adjacent technical areas. The Examiner must determine which terms remain sufficiently close to the claimed subject matter, which expressions are technically adjacent but legally or functionally different, which broader terms may be used selectively for exploratory search, and which terms may introduce large amounts of irrelevant prior art or divert the search into non-relevant technical areas. Human oversight remains necessary to convert AI-generated vocabulary into a reasoned and targeted search strategy.</w:t>
      </w:r>
    </w:p>
    <w:p>
      <w:pPr>
        <w:pStyle w:val="Heading2"/>
      </w:pPr>
      <w:r>
        <w:t xml:space="preserve">1.3 Use of AI for preliminary claim-feature extraction</w:t>
      </w:r>
    </w:p>
    <w:p>
      <w:pPr>
        <w:spacing w:after="200"/>
      </w:pPr>
      <w:r>
        <w:rPr>
          <w:b w:val="false"/>
          <w:bCs w:val="false"/>
          <w:i w:val="false"/>
          <w:iCs w:val="false"/>
        </w:rPr>
        <w:t xml:space="preserve">An Examiner/Controller may use AI to break an independent claim into separate features or claim elements for convenience, which may help in preparing internal notes or a comparison chart. This can be useful for complex mechanical, telecom, software, or biotechnology claims.</w:t>
      </w:r>
    </w:p>
    <w:p>
      <w:pPr>
        <w:spacing w:after="200"/>
      </w:pPr>
      <w:r>
        <w:rPr>
          <w:b w:val="false"/>
          <w:bCs w:val="false"/>
          <w:i w:val="false"/>
          <w:iCs w:val="false"/>
        </w:rPr>
        <w:t xml:space="preserve">The danger is that AI may split the claim incorrectly, separate features that legally belong together, ignore relational phrases such as “configured to,” “in response to,” “wherein,” or “such that,” or miss negative limitations, numerical ranges, functional dependencies, or optional and mandatory elements. Such errors are serious, because a wrong claim breakdown can distort novelty and inventive-step analysis from the very beginning.</w:t>
      </w:r>
    </w:p>
    <w:p>
      <w:pPr>
        <w:spacing w:after="200"/>
      </w:pPr>
      <w:r>
        <w:rPr>
          <w:b w:val="false"/>
          <w:bCs w:val="false"/>
          <w:i w:val="false"/>
          <w:iCs w:val="false"/>
        </w:rPr>
        <w:t xml:space="preserve">The safeguard is that any AI-generated feature list should be treated only as a rough internal draft, to be revised personally by the officer before use for any comparison exercise. This use may be treated as restricted, because it may materially influence later reasoning if left unchecked.</w:t>
      </w:r>
    </w:p>
    <w:p>
      <w:pPr>
        <w:pStyle w:val="Heading2"/>
      </w:pPr>
      <w:r>
        <w:t xml:space="preserve">1.4 Use of AI for translation support</w:t>
      </w:r>
    </w:p>
    <w:p>
      <w:pPr>
        <w:spacing w:after="200"/>
      </w:pPr>
      <w:r>
        <w:rPr>
          <w:b w:val="false"/>
          <w:bCs w:val="false"/>
          <w:i w:val="false"/>
          <w:iCs w:val="false"/>
        </w:rPr>
        <w:t xml:space="preserve">An Examiner/Controller may use AI to obtain a rough understanding of a foreign-language document, especially for early search screening or internal orientation. This may improve the speed of search review and reduce dependence on slower manual routes for initial screening.</w:t>
      </w:r>
    </w:p>
    <w:p>
      <w:pPr>
        <w:spacing w:after="200"/>
      </w:pPr>
      <w:r>
        <w:rPr>
          <w:b w:val="false"/>
          <w:bCs w:val="false"/>
          <w:i w:val="false"/>
          <w:iCs w:val="false"/>
        </w:rPr>
        <w:t xml:space="preserve">The risk is that AI translation may miss technical nuance — a word that means “coupled,” “bonded,” “attached,” “linked,” or “mounted” may not be interchangeable in an engineering context. The safeguard is that AI translation may be used for rough understanding, but any passage relied upon for a formal objection should be checked against a reliable source, such as the drawings related to the invention, and it shall be mentioned clearly in the reasoning on patentability that a machine translation of the citation was relied upon.</w:t>
      </w:r>
    </w:p>
    <w:p>
      <w:pPr>
        <w:pStyle w:val="Heading2"/>
      </w:pPr>
      <w:r>
        <w:t xml:space="preserve">1.5 Use of AI for improving the structure or language of a draft office communication</w:t>
      </w:r>
    </w:p>
    <w:p>
      <w:pPr>
        <w:spacing w:after="200"/>
      </w:pPr>
      <w:r>
        <w:rPr>
          <w:b w:val="false"/>
          <w:bCs w:val="false"/>
          <w:i w:val="false"/>
          <w:iCs w:val="false"/>
        </w:rPr>
        <w:t xml:space="preserve">AI tools may improve coherence, grammar, remove repetition or contradictions, reorganise headings, or convert raw notes into a cleaner draft, and can assist in summarisation of lengthy documents for internal reading convenience. This may improve presentation, readability and consistency, and reduce purely clerical effort.</w:t>
      </w:r>
    </w:p>
    <w:p>
      <w:pPr>
        <w:spacing w:after="200"/>
      </w:pPr>
      <w:r>
        <w:rPr>
          <w:b w:val="false"/>
          <w:bCs w:val="false"/>
          <w:i w:val="false"/>
          <w:iCs w:val="false"/>
        </w:rPr>
        <w:t xml:space="preserve">The danger arises when the system moves beyond such support and begins generating reasoning: it may insert statements not found in the record, overstate the scope of a prior-art document, weaken the logic of an objection, omit the officer’s actual reasoning chain, or produce language that sounds correct but is legally imprecise. An even more serious risk is the inclusion of non-existent citations or case references, or unsupported propositions.</w:t>
      </w:r>
    </w:p>
    <w:p>
      <w:pPr>
        <w:spacing w:after="200"/>
      </w:pPr>
      <w:r>
        <w:rPr>
          <w:b w:val="false"/>
          <w:bCs w:val="false"/>
          <w:i w:val="false"/>
          <w:iCs w:val="false"/>
        </w:rPr>
        <w:t xml:space="preserve">The safeguard is that AI may be used to improve the language or structure of a draft already prepared by the officer, but not to replace the officer’s own reasoning. No official communication should be issued unless the officer has personally checked every substantive statement, and any AI-assisted technical summary shall be checked against the actual record. Language support may therefore be permitted for formatting and language refinement, but restricted for substantive reasoning.</w:t>
      </w:r>
    </w:p>
    <w:p>
      <w:pPr>
        <w:spacing w:after="200"/>
      </w:pPr>
      <w:r>
        <w:rPr>
          <w:b w:val="false"/>
          <w:bCs w:val="false"/>
          <w:i w:val="false"/>
          <w:iCs w:val="false"/>
        </w:rPr>
        <w:t xml:space="preserve">GenAI outputs generally suggest further ways in which the tool can support, along with introductory conversational lines. Care should be taken to avoid such casual inputs being carried into official communications, as this could adversely affect the credibility of the communication even when the substantive content is correct and human-endorsed. Examples of such extraneous lines to be removed are: “Here are a few ways to reword your communication, depending on the tone you want to set:” or “Would you like me to adjust the tone to be even more formal, or perhaps focus more on the ‘novelty’ aspect in this case?”</w:t>
      </w:r>
    </w:p>
    <w:p>
      <w:pPr>
        <w:pStyle w:val="Heading2"/>
      </w:pPr>
      <w:r>
        <w:t xml:space="preserve">1.6 Use of AI to retrieve legal or technical citations</w:t>
      </w:r>
    </w:p>
    <w:p>
      <w:pPr>
        <w:spacing w:after="200"/>
      </w:pPr>
      <w:r>
        <w:rPr>
          <w:b w:val="false"/>
          <w:bCs w:val="false"/>
          <w:i w:val="false"/>
          <w:iCs w:val="false"/>
        </w:rPr>
        <w:t xml:space="preserve">An officer may seek to use AI for case law, scientific references, patent citations, or excerpts from manuals relevant to a particular objection. The apparent advantage lies in convenience, as the system may generate well-presented output. However, such output may not be dependable: AI may fabricate citations, confuse one judgment with another, misdescribe the ratio, or attribute technical findings to a source that never made them. Use of a fabricated or wrongly described authority can directly affect the credibility and defensibility of the office action.</w:t>
      </w:r>
    </w:p>
    <w:p>
      <w:pPr>
        <w:spacing w:after="200"/>
      </w:pPr>
      <w:r>
        <w:rPr>
          <w:b w:val="false"/>
          <w:bCs w:val="false"/>
          <w:i w:val="false"/>
          <w:iCs w:val="false"/>
        </w:rPr>
        <w:t xml:space="preserve">The safeguard is independent verification of the source and output with utmost care. No citation suggested by AI should be used unless it is independently verified and checked in the actual source.</w:t>
      </w:r>
    </w:p>
    <w:p>
      <w:pPr>
        <w:pStyle w:val="Heading2"/>
      </w:pPr>
      <w:r>
        <w:t xml:space="preserve">1.7 Use of a public generative AI tool with unpublished patent application material</w:t>
      </w:r>
    </w:p>
    <w:p>
      <w:pPr>
        <w:spacing w:after="200"/>
      </w:pPr>
      <w:r>
        <w:rPr>
          <w:b w:val="false"/>
          <w:bCs w:val="false"/>
          <w:i w:val="false"/>
          <w:iCs w:val="false"/>
        </w:rPr>
        <w:t xml:space="preserve">An officer shall not copy the claims, description, prior-art note, hearing note or unpublished document into a public AI tool to obtain a summary, chart, or draft. Indian government policy repeatedly emphasises data protection and confidentiality. Use of a public generative AI tool with unpublished patent application material creates a risk that unpublished subject matter, internal comments, or other sensitive official material may move outside the approved environment, which would amount to a serious institutional/stakeholder risk in the patent context. The status of this use is treated as prohibited.</w:t>
      </w:r>
    </w:p>
    <w:p>
      <w:pPr>
        <w:pStyle w:val="Heading2"/>
      </w:pPr>
      <w:r>
        <w:t xml:space="preserve">1.8 Use of AI tools for preliminary novelty or inventive-step analysis</w:t>
      </w:r>
    </w:p>
    <w:p>
      <w:pPr>
        <w:spacing w:after="200"/>
      </w:pPr>
      <w:r>
        <w:rPr>
          <w:b w:val="false"/>
          <w:bCs w:val="false"/>
          <w:i w:val="false"/>
          <w:iCs w:val="false"/>
        </w:rPr>
        <w:t xml:space="preserve">Use of Artificial Intelligence for generating novelty objections, inventive-step objections, or hearing notices on the basis of the claims and cited documents shall be done with careful precautions only. The system may fail to identify a distinguishing feature, misread the cited document, combine separate teachings impermissibly, apply hindsight, or generate reasoning that appears persuasive in language but is technically unsound. It may also fail to deal fairly and accurately with the applicant’s submissions. Such use may weaken the independent application of mind required of the Examiner or Controller. The detailed one-to-one claim mapping necessary for novelty analysis — requiring careful consideration of explicit and implicit disclosures along with drawings and contextual information — makes the process particularly challenging and prone to errors and significant omissions.</w:t>
      </w:r>
    </w:p>
    <w:p>
      <w:pPr>
        <w:pStyle w:val="Heading3"/>
      </w:pPr>
      <w:r>
        <w:t xml:space="preserve">Example: laparoscopic needle holder claim</w:t>
      </w:r>
    </w:p>
    <w:p>
      <w:pPr>
        <w:spacing w:after="200"/>
      </w:pPr>
      <w:r>
        <w:rPr>
          <w:b w:val="false"/>
          <w:bCs w:val="false"/>
          <w:i w:val="false"/>
          <w:iCs w:val="false"/>
        </w:rPr>
        <w:t xml:space="preserve">Claim 1: A laparoscopic needle holder comprising: a tubular shaft, the shaft having a straight proximal shaft section and a curved distal shaft section; clamping jaws disposed at a distal end of the shaft; a handle disposed at a proximal end of the shaft; and a rod that passes through a center of the shaft, the rod capable of being longitudinally displaced by the handle to actuate the clamping jaws, wherein the straight proximal shaft section and the curved distal shaft section are detachably attached to one another.</w:t>
      </w:r>
    </w:p>
    <w:p>
      <w:pPr>
        <w:spacing w:after="200"/>
      </w:pPr>
      <w:r>
        <w:rPr>
          <w:b w:val="false"/>
          <w:bCs w:val="false"/>
          <w:i w:val="false"/>
          <w:iCs w:val="false"/>
        </w:rPr>
        <w:t xml:space="preserve">Prior Art D1: A suturing device for use with a suturing needle, the device comprising a body having a proximal end and a distal end, the body having an elongate extension extending along an axis toward the distal end, the extension configured to define a bend in the axis; a first clamp near the distal end of the body; and a linkage effecting movement of the first clamp between a grasping configuration and a released configuration, the linkage comprising a shaft movable along the axis within the extension so as to effect the movement of the first clamp, the shaft having axial stiffness and being laterally flexible so as to transmit the movement and accommodate the bend.</w:t>
      </w:r>
    </w:p>
    <w:p>
      <w:pPr>
        <w:spacing w:after="200"/>
      </w:pPr>
      <w:r>
        <w:rPr>
          <w:b w:val="false"/>
          <w:bCs w:val="false"/>
          <w:i w:val="false"/>
          <w:iCs w:val="false"/>
        </w:rPr>
        <w:t xml:space="preserve">First prompt (asking the AI tool to treat the proximal and distal shaft portions in D1 as parts of the same attached instrument structure) produced a response concluding that Claim 1 lacks novelty over D1.</w:t>
      </w:r>
    </w:p>
    <w:p>
      <w:pPr>
        <w:spacing w:after="200"/>
      </w:pPr>
      <w:r>
        <w:rPr>
          <w:b w:val="false"/>
          <w:bCs w:val="false"/>
          <w:i w:val="false"/>
          <w:iCs w:val="false"/>
        </w:rPr>
        <w:t xml:space="preserve">Second prompt (asking the AI tool to focus specifically on whether D1 discloses the detachable-attachment feature) produced a response concluding that Claim 1 is novel over D1, because D1 does not disclose the proximal and distal shaft sections as separate, detachable components.</w:t>
      </w:r>
    </w:p>
    <w:p>
      <w:pPr>
        <w:spacing w:after="200"/>
      </w:pPr>
      <w:r>
        <w:rPr>
          <w:b w:val="false"/>
          <w:bCs w:val="false"/>
          <w:i w:val="false"/>
          <w:iCs w:val="false"/>
        </w:rPr>
        <w:t xml:space="preserve">Note: AI responses may not always be consistent or reproducible. In this example, both responses appear, prima facie, fluent and persuasive; the difference lies in the treatment of the detachable-attachment feature. This illustrates the need for independent human scrutiny. All AI outputs must be critically reviewed and validated by a qualified human professional using primary sources; due diligence is mandatory. Large language models can be prompt-sensitive and may fill gaps with assumptions — final patent analysis requires human judgment.</w:t>
      </w:r>
    </w:p>
    <w:p>
      <w:pPr>
        <w:spacing w:after="200"/>
      </w:pPr>
      <w:r>
        <w:rPr>
          <w:b w:val="false"/>
          <w:bCs w:val="false"/>
          <w:i w:val="false"/>
          <w:iCs w:val="false"/>
        </w:rPr>
        <w:t xml:space="preserve">AI may nonetheless be useful at the preliminary stage in identifying possible claim-to-prior-art mapping and organising the comparison in a structured manner. Such mapping can only be treated as an assistive input; it remains for the Examiner or Controller to verify each mapped feature from the actual prior-art document, assess whether the correspondence is technically and legally correct, and arrive at an independent conclusion on novelty.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900"/>
        <w:gridCol w:w="2900"/>
        <w:gridCol w:w="3200"/>
      </w:tblGrid>
      <w:tr>
        <w:trPr>
          <w:tblHeader/>
        </w:trPr>
        <w:tc>
          <w:tcPr>
            <w:tcW w:type="dxa" w:w="2900"/>
            <w:tcBorders>
              <w:top w:val="single" w:color="999999" w:sz="4"/>
              <w:left w:val="single" w:color="999999" w:sz="4"/>
              <w:bottom w:val="single" w:color="999999" w:sz="4"/>
              <w:right w:val="single" w:color="999999" w:sz="4"/>
            </w:tcBorders>
            <w:shd w:fill="D9E2F3" w:val="clear"/>
          </w:tcPr>
          <w:p>
            <w:r>
              <w:rPr>
                <w:b/>
                <w:bCs/>
              </w:rPr>
              <w:t xml:space="preserve">Feature of Claim 1 (as per AI)</w:t>
            </w:r>
          </w:p>
        </w:tc>
        <w:tc>
          <w:tcPr>
            <w:tcW w:type="dxa" w:w="2900"/>
            <w:tcBorders>
              <w:top w:val="single" w:color="999999" w:sz="4"/>
              <w:left w:val="single" w:color="999999" w:sz="4"/>
              <w:bottom w:val="single" w:color="999999" w:sz="4"/>
              <w:right w:val="single" w:color="999999" w:sz="4"/>
            </w:tcBorders>
            <w:shd w:fill="D9E2F3" w:val="clear"/>
          </w:tcPr>
          <w:p>
            <w:r>
              <w:rPr>
                <w:b/>
                <w:bCs/>
              </w:rPr>
              <w:t xml:space="preserve">AI mapping with D1</w:t>
            </w:r>
          </w:p>
        </w:tc>
        <w:tc>
          <w:tcPr>
            <w:tcW w:type="dxa" w:w="3200"/>
            <w:tcBorders>
              <w:top w:val="single" w:color="999999" w:sz="4"/>
              <w:left w:val="single" w:color="999999" w:sz="4"/>
              <w:bottom w:val="single" w:color="999999" w:sz="4"/>
              <w:right w:val="single" w:color="999999" w:sz="4"/>
            </w:tcBorders>
            <w:shd w:fill="D9E2F3" w:val="clear"/>
          </w:tcPr>
          <w:p>
            <w:r>
              <w:rPr>
                <w:b/>
                <w:bCs/>
              </w:rPr>
              <w:t xml:space="preserve">Human judgement</w:t>
            </w:r>
          </w:p>
        </w:tc>
      </w:tr>
      <w:tr>
        <w:tc>
          <w:tcPr>
            <w:tcW w:type="dxa" w:w="2900"/>
            <w:tcBorders>
              <w:top w:val="single" w:color="999999" w:sz="4"/>
              <w:left w:val="single" w:color="999999" w:sz="4"/>
              <w:bottom w:val="single" w:color="999999" w:sz="4"/>
              <w:right w:val="single" w:color="999999" w:sz="4"/>
            </w:tcBorders>
          </w:tcPr>
          <w:p>
            <w:pPr>
              <w:spacing w:after="60"/>
            </w:pPr>
            <w:r>
              <w:t xml:space="preserve">A laparoscopic needle holder</w:t>
            </w:r>
          </w:p>
        </w:tc>
        <w:tc>
          <w:tcPr>
            <w:tcW w:type="dxa" w:w="2900"/>
            <w:tcBorders>
              <w:top w:val="single" w:color="999999" w:sz="4"/>
              <w:left w:val="single" w:color="999999" w:sz="4"/>
              <w:bottom w:val="single" w:color="999999" w:sz="4"/>
              <w:right w:val="single" w:color="999999" w:sz="4"/>
            </w:tcBorders>
          </w:tcPr>
          <w:p>
            <w:pPr>
              <w:spacing w:after="60"/>
            </w:pPr>
            <w:r>
              <w:t xml:space="preserve">A suturing device for use with a suturing needle</w:t>
            </w:r>
          </w:p>
        </w:tc>
        <w:tc>
          <w:tcPr>
            <w:tcW w:type="dxa" w:w="3200"/>
            <w:tcBorders>
              <w:top w:val="single" w:color="999999" w:sz="4"/>
              <w:left w:val="single" w:color="999999" w:sz="4"/>
              <w:bottom w:val="single" w:color="999999" w:sz="4"/>
              <w:right w:val="single" w:color="999999" w:sz="4"/>
            </w:tcBorders>
          </w:tcPr>
          <w:p>
            <w:pPr>
              <w:spacing w:after="60"/>
            </w:pPr>
            <w:r>
              <w:t xml:space="preserve">Broad functional correspondence is mapped by the AI, but exact identity of the instrument type still requires examination.</w:t>
            </w:r>
          </w:p>
        </w:tc>
      </w:tr>
      <w:tr>
        <w:tc>
          <w:tcPr>
            <w:tcW w:type="dxa" w:w="2900"/>
            <w:tcBorders>
              <w:top w:val="single" w:color="999999" w:sz="4"/>
              <w:left w:val="single" w:color="999999" w:sz="4"/>
              <w:bottom w:val="single" w:color="999999" w:sz="4"/>
              <w:right w:val="single" w:color="999999" w:sz="4"/>
            </w:tcBorders>
          </w:tcPr>
          <w:p>
            <w:pPr>
              <w:spacing w:after="60"/>
            </w:pPr>
            <w:r>
              <w:t xml:space="preserve">A tubular shaft</w:t>
            </w:r>
          </w:p>
        </w:tc>
        <w:tc>
          <w:tcPr>
            <w:tcW w:type="dxa" w:w="2900"/>
            <w:tcBorders>
              <w:top w:val="single" w:color="999999" w:sz="4"/>
              <w:left w:val="single" w:color="999999" w:sz="4"/>
              <w:bottom w:val="single" w:color="999999" w:sz="4"/>
              <w:right w:val="single" w:color="999999" w:sz="4"/>
            </w:tcBorders>
          </w:tcPr>
          <w:p>
            <w:pPr>
              <w:spacing w:after="60"/>
            </w:pPr>
            <w:r>
              <w:t xml:space="preserve">A body having an elongate extension extending along an axis toward the distal end</w:t>
            </w:r>
          </w:p>
        </w:tc>
        <w:tc>
          <w:tcPr>
            <w:tcW w:type="dxa" w:w="3200"/>
            <w:tcBorders>
              <w:top w:val="single" w:color="999999" w:sz="4"/>
              <w:left w:val="single" w:color="999999" w:sz="4"/>
              <w:bottom w:val="single" w:color="999999" w:sz="4"/>
              <w:right w:val="single" w:color="999999" w:sz="4"/>
            </w:tcBorders>
          </w:tcPr>
          <w:p>
            <w:pPr>
              <w:spacing w:after="60"/>
            </w:pPr>
            <w:r>
              <w:t xml:space="preserve">D1 discloses an elongate body/extension, but whether this is a “tubular shaft” in the claimed sense requires verification.</w:t>
            </w:r>
          </w:p>
        </w:tc>
      </w:tr>
      <w:tr>
        <w:tc>
          <w:tcPr>
            <w:tcW w:type="dxa" w:w="2900"/>
            <w:tcBorders>
              <w:top w:val="single" w:color="999999" w:sz="4"/>
              <w:left w:val="single" w:color="999999" w:sz="4"/>
              <w:bottom w:val="single" w:color="999999" w:sz="4"/>
              <w:right w:val="single" w:color="999999" w:sz="4"/>
            </w:tcBorders>
          </w:tcPr>
          <w:p>
            <w:pPr>
              <w:spacing w:after="60"/>
            </w:pPr>
            <w:r>
              <w:t xml:space="preserve">The shaft having a straight proximal shaft section and a curved distal shaft section</w:t>
            </w:r>
          </w:p>
        </w:tc>
        <w:tc>
          <w:tcPr>
            <w:tcW w:type="dxa" w:w="2900"/>
            <w:tcBorders>
              <w:top w:val="single" w:color="999999" w:sz="4"/>
              <w:left w:val="single" w:color="999999" w:sz="4"/>
              <w:bottom w:val="single" w:color="999999" w:sz="4"/>
              <w:right w:val="single" w:color="999999" w:sz="4"/>
            </w:tcBorders>
          </w:tcPr>
          <w:p>
            <w:pPr>
              <w:spacing w:after="60"/>
            </w:pPr>
            <w:r>
              <w:t xml:space="preserve">The body has a proximal end and a distal end, and the elongate extension is configured to define a bend in the axis.</w:t>
            </w:r>
          </w:p>
        </w:tc>
        <w:tc>
          <w:tcPr>
            <w:tcW w:type="dxa" w:w="3200"/>
            <w:tcBorders>
              <w:top w:val="single" w:color="999999" w:sz="4"/>
              <w:left w:val="single" w:color="999999" w:sz="4"/>
              <w:bottom w:val="single" w:color="999999" w:sz="4"/>
              <w:right w:val="single" w:color="999999" w:sz="4"/>
            </w:tcBorders>
          </w:tcPr>
          <w:p>
            <w:pPr>
              <w:spacing w:after="60"/>
            </w:pPr>
            <w:r>
              <w:t xml:space="preserve">D1 appears to disclose a proximal portion and a bent distal extension. Whether this corresponds to distinct “straight proximal” and “curved distal” claim features requires careful assessment.</w:t>
            </w:r>
          </w:p>
        </w:tc>
      </w:tr>
      <w:tr>
        <w:tc>
          <w:tcPr>
            <w:tcW w:type="dxa" w:w="2900"/>
            <w:tcBorders>
              <w:top w:val="single" w:color="999999" w:sz="4"/>
              <w:left w:val="single" w:color="999999" w:sz="4"/>
              <w:bottom w:val="single" w:color="999999" w:sz="4"/>
              <w:right w:val="single" w:color="999999" w:sz="4"/>
            </w:tcBorders>
          </w:tcPr>
          <w:p>
            <w:pPr>
              <w:spacing w:after="60"/>
            </w:pPr>
            <w:r>
              <w:t xml:space="preserve">Clamping jaws disposed at a distal end of the shaft</w:t>
            </w:r>
          </w:p>
        </w:tc>
        <w:tc>
          <w:tcPr>
            <w:tcW w:type="dxa" w:w="2900"/>
            <w:tcBorders>
              <w:top w:val="single" w:color="999999" w:sz="4"/>
              <w:left w:val="single" w:color="999999" w:sz="4"/>
              <w:bottom w:val="single" w:color="999999" w:sz="4"/>
              <w:right w:val="single" w:color="999999" w:sz="4"/>
            </w:tcBorders>
          </w:tcPr>
          <w:p>
            <w:pPr>
              <w:spacing w:after="60"/>
            </w:pPr>
            <w:r>
              <w:t xml:space="preserve">A first clamp near the distal end of the body, configured for grasping the needle</w:t>
            </w:r>
          </w:p>
        </w:tc>
        <w:tc>
          <w:tcPr>
            <w:tcW w:type="dxa" w:w="3200"/>
            <w:tcBorders>
              <w:top w:val="single" w:color="999999" w:sz="4"/>
              <w:left w:val="single" w:color="999999" w:sz="4"/>
              <w:bottom w:val="single" w:color="999999" w:sz="4"/>
              <w:right w:val="single" w:color="999999" w:sz="4"/>
            </w:tcBorders>
          </w:tcPr>
          <w:p>
            <w:pPr>
              <w:spacing w:after="60"/>
            </w:pPr>
            <w:r>
              <w:t xml:space="preserve">This appears to be a reasonably close mapping at a broad level.</w:t>
            </w:r>
          </w:p>
        </w:tc>
      </w:tr>
      <w:tr>
        <w:tc>
          <w:tcPr>
            <w:tcW w:type="dxa" w:w="2900"/>
            <w:tcBorders>
              <w:top w:val="single" w:color="999999" w:sz="4"/>
              <w:left w:val="single" w:color="999999" w:sz="4"/>
              <w:bottom w:val="single" w:color="999999" w:sz="4"/>
              <w:right w:val="single" w:color="999999" w:sz="4"/>
            </w:tcBorders>
          </w:tcPr>
          <w:p>
            <w:pPr>
              <w:spacing w:after="60"/>
            </w:pPr>
            <w:r>
              <w:t xml:space="preserve">A handle disposed at a proximal end of the shaft</w:t>
            </w:r>
          </w:p>
        </w:tc>
        <w:tc>
          <w:tcPr>
            <w:tcW w:type="dxa" w:w="2900"/>
            <w:tcBorders>
              <w:top w:val="single" w:color="999999" w:sz="4"/>
              <w:left w:val="single" w:color="999999" w:sz="4"/>
              <w:bottom w:val="single" w:color="999999" w:sz="4"/>
              <w:right w:val="single" w:color="999999" w:sz="4"/>
            </w:tcBorders>
          </w:tcPr>
          <w:p>
            <w:pPr>
              <w:spacing w:after="60"/>
            </w:pPr>
            <w:r>
              <w:t xml:space="preserve">Not clearly set out in the extracted passage.</w:t>
            </w:r>
          </w:p>
        </w:tc>
        <w:tc>
          <w:tcPr>
            <w:tcW w:type="dxa" w:w="3200"/>
            <w:tcBorders>
              <w:top w:val="single" w:color="999999" w:sz="4"/>
              <w:left w:val="single" w:color="999999" w:sz="4"/>
              <w:bottom w:val="single" w:color="999999" w:sz="4"/>
              <w:right w:val="single" w:color="999999" w:sz="4"/>
            </w:tcBorders>
          </w:tcPr>
          <w:p>
            <w:pPr>
              <w:spacing w:after="60"/>
            </w:pPr>
            <w:r>
              <w:t xml:space="preserve">Needs verification.</w:t>
            </w:r>
          </w:p>
        </w:tc>
      </w:tr>
      <w:tr>
        <w:tc>
          <w:tcPr>
            <w:tcW w:type="dxa" w:w="2900"/>
            <w:tcBorders>
              <w:top w:val="single" w:color="999999" w:sz="4"/>
              <w:left w:val="single" w:color="999999" w:sz="4"/>
              <w:bottom w:val="single" w:color="999999" w:sz="4"/>
              <w:right w:val="single" w:color="999999" w:sz="4"/>
            </w:tcBorders>
          </w:tcPr>
          <w:p>
            <w:pPr>
              <w:spacing w:after="60"/>
            </w:pPr>
            <w:r>
              <w:t xml:space="preserve">A rod that passes through a center of the shaft, capable of being longitudinally displaced by the handle to actuate the clamping jaws</w:t>
            </w:r>
          </w:p>
        </w:tc>
        <w:tc>
          <w:tcPr>
            <w:tcW w:type="dxa" w:w="2900"/>
            <w:tcBorders>
              <w:top w:val="single" w:color="999999" w:sz="4"/>
              <w:left w:val="single" w:color="999999" w:sz="4"/>
              <w:bottom w:val="single" w:color="999999" w:sz="4"/>
              <w:right w:val="single" w:color="999999" w:sz="4"/>
            </w:tcBorders>
          </w:tcPr>
          <w:p>
            <w:pPr>
              <w:spacing w:after="60"/>
            </w:pPr>
            <w:r>
              <w:t xml:space="preserve">A linkage comprising a shaft movable along the axis within the extension so as to effect movement of the first clamp</w:t>
            </w:r>
          </w:p>
        </w:tc>
        <w:tc>
          <w:tcPr>
            <w:tcW w:type="dxa" w:w="3200"/>
            <w:tcBorders>
              <w:top w:val="single" w:color="999999" w:sz="4"/>
              <w:left w:val="single" w:color="999999" w:sz="4"/>
              <w:bottom w:val="single" w:color="999999" w:sz="4"/>
              <w:right w:val="single" w:color="999999" w:sz="4"/>
            </w:tcBorders>
          </w:tcPr>
          <w:p>
            <w:pPr>
              <w:spacing w:after="60"/>
            </w:pPr>
            <w:r>
              <w:t xml:space="preserve">D1 appears to disclose an internal movable shaft/linkage for actuation. Whether it is a “rod passing through the center of the shaft” in the claimed sense would require closer verification.</w:t>
            </w:r>
          </w:p>
        </w:tc>
      </w:tr>
      <w:tr>
        <w:tc>
          <w:tcPr>
            <w:tcW w:type="dxa" w:w="2900"/>
            <w:tcBorders>
              <w:top w:val="single" w:color="999999" w:sz="4"/>
              <w:left w:val="single" w:color="999999" w:sz="4"/>
              <w:bottom w:val="single" w:color="999999" w:sz="4"/>
              <w:right w:val="single" w:color="999999" w:sz="4"/>
            </w:tcBorders>
          </w:tcPr>
          <w:p>
            <w:pPr>
              <w:spacing w:after="60"/>
            </w:pPr>
            <w:r>
              <w:t xml:space="preserve">The straight proximal shaft section and the curved distal shaft section are detachably attached to one another</w:t>
            </w:r>
          </w:p>
        </w:tc>
        <w:tc>
          <w:tcPr>
            <w:tcW w:type="dxa" w:w="2900"/>
            <w:tcBorders>
              <w:top w:val="single" w:color="999999" w:sz="4"/>
              <w:left w:val="single" w:color="999999" w:sz="4"/>
              <w:bottom w:val="single" w:color="999999" w:sz="4"/>
              <w:right w:val="single" w:color="999999" w:sz="4"/>
            </w:tcBorders>
          </w:tcPr>
          <w:p>
            <w:pPr>
              <w:spacing w:after="60"/>
            </w:pPr>
            <w:r>
              <w:t xml:space="preserve">No explicit disclosure in the quoted passage.</w:t>
            </w:r>
          </w:p>
        </w:tc>
        <w:tc>
          <w:tcPr>
            <w:tcW w:type="dxa" w:w="3200"/>
            <w:tcBorders>
              <w:top w:val="single" w:color="999999" w:sz="4"/>
              <w:left w:val="single" w:color="999999" w:sz="4"/>
              <w:bottom w:val="single" w:color="999999" w:sz="4"/>
              <w:right w:val="single" w:color="999999" w:sz="4"/>
            </w:tcBorders>
          </w:tcPr>
          <w:p>
            <w:pPr>
              <w:spacing w:after="60"/>
            </w:pPr>
            <w:r>
              <w:t xml:space="preserve">Needs verification.</w:t>
            </w:r>
          </w:p>
        </w:tc>
      </w:tr>
    </w:tbl>
    <w:p>
      <w:pPr>
        <w:pStyle w:val="Heading2"/>
      </w:pPr>
      <w:r>
        <w:t xml:space="preserve">1.9 Use of AI for quick identification of clarity issues in claims</w:t>
      </w:r>
    </w:p>
    <w:p>
      <w:pPr>
        <w:spacing w:after="200"/>
      </w:pPr>
      <w:r>
        <w:rPr>
          <w:b w:val="false"/>
          <w:bCs w:val="false"/>
          <w:i w:val="false"/>
          <w:iCs w:val="false"/>
        </w:rPr>
        <w:t xml:space="preserve">Illustrative claim uploaded to an AI tool: “A composition comprising: (a) rutin; and (b) wedelolactone, wherein weight percentage of rutin and wedelolactone in said composition is in the range of 0.03–0.57%, and rutin to wedelolactone w/w ratio in said composition is in the range of 1:1–1:9.”</w:t>
      </w:r>
    </w:p>
    <w:p>
      <w:pPr>
        <w:spacing w:after="200"/>
      </w:pPr>
      <w:r>
        <w:rPr>
          <w:b w:val="false"/>
          <w:bCs w:val="false"/>
          <w:i w:val="false"/>
          <w:iCs w:val="false"/>
        </w:rPr>
        <w:t xml:space="preserve">Prompt 1 (“identify clarity issues as per section 10(4) of the Act”) produced a flag of “ambiguous quantitative limitation detected,” noting it was unclear whether the stated percentage referred to each component individually, the combined concentration, or the percentage with respect to total composition weight.</w:t>
      </w:r>
    </w:p>
    <w:p>
      <w:pPr>
        <w:spacing w:after="200"/>
      </w:pPr>
      <w:r>
        <w:rPr>
          <w:b w:val="false"/>
          <w:bCs w:val="false"/>
          <w:i w:val="false"/>
          <w:iCs w:val="false"/>
        </w:rPr>
        <w:t xml:space="preserve">Prompt 2 (“draft in a FER style”) produced suggested First Examination Report language raising the same ambiguity as a clarity objection under Section 10(4) of the Act.</w:t>
      </w:r>
    </w:p>
    <w:p>
      <w:pPr>
        <w:spacing w:after="200"/>
      </w:pPr>
      <w:r>
        <w:rPr>
          <w:b w:val="false"/>
          <w:bCs w:val="false"/>
          <w:i w:val="false"/>
          <w:iCs w:val="false"/>
        </w:rPr>
        <w:t xml:space="preserve">Prompt 3 (clarifying that the figure was a combined weight percentage) produced a revised, more precisely worded objection focused on the unclear individual quantitative contribution of each component given the broad 1:1–1:9 ratio range.</w:t>
      </w:r>
    </w:p>
    <w:p>
      <w:pPr>
        <w:spacing w:after="200"/>
      </w:pPr>
      <w:r>
        <w:rPr>
          <w:b w:val="false"/>
          <w:bCs w:val="false"/>
          <w:i w:val="false"/>
          <w:iCs w:val="false"/>
        </w:rPr>
        <w:t xml:space="preserve">Prompt 4 (pointing out that the claim does not specify what constitutes the remaining 99.43–99.97% of the composition) produced a further revised objection incorporating that additional observation.</w:t>
      </w:r>
    </w:p>
    <w:p>
      <w:pPr>
        <w:spacing w:after="200"/>
      </w:pPr>
      <w:r>
        <w:rPr>
          <w:b w:val="false"/>
          <w:bCs w:val="false"/>
          <w:i w:val="false"/>
          <w:iCs w:val="false"/>
        </w:rPr>
        <w:t xml:space="preserve">Usability of AI: AI assists the user in promptly identifying ambiguities and potential deficiencies requiring clarification under Section 10(4) of the Act, and may be used as a supportive tool for preliminary issue identification, claim analysis, and drafting assistance. However, the final determination regarding legal interpretation, statutory compliance, and formulation of objections shall remain solely within the domain of the user.</w:t>
      </w:r>
    </w:p>
    <w:p>
      <w:pPr>
        <w:pStyle w:val="Heading2"/>
      </w:pPr>
      <w:r>
        <w:t xml:space="preserve">1.10 Use of AI tools for preliminary assessment of sufficiency of disclosure</w:t>
      </w:r>
    </w:p>
    <w:p>
      <w:pPr>
        <w:pStyle w:val="Heading3"/>
      </w:pPr>
      <w:r>
        <w:t xml:space="preserve">Example 1</w:t>
      </w:r>
    </w:p>
    <w:p>
      <w:pPr>
        <w:spacing w:after="200"/>
      </w:pPr>
      <w:r>
        <w:rPr>
          <w:b w:val="false"/>
          <w:bCs w:val="false"/>
          <w:i w:val="false"/>
          <w:iCs w:val="false"/>
        </w:rPr>
        <w:t xml:space="preserve">An AI tool was asked to assess the sufficiency of disclosure of an application (relating to a non-invasive, ECG-based depth-of-anaesthesia monitor) as per the Patents Act, with the complete specification attached. The tool assessed the specification as marginally/borderline sufficient for enablement: it found the core inventive concept, hardware implementation, and overall system workflow to be adequately disclosed, sufficient for a broadly-drafted functional claim. However, it identified critical gaps in the algorithmic core of the invention — exact filter parameters, the method of automatic peak detection, the formula for the adaptive bandpass filter, the averaging/decimation method for RSA magnitude, and the correlation formula for muscle relaxation — none of which were disclosed with sufficient precision. It also noted the absence of pseudocode, equations, or source code, the absence of a specific best mode, and the absence of quantitative validation data. It concluded that for narrow or precise claims, undue experimentation would likely be required to replicate the inventors’ results, and that in stricter jurisdictions such as India an Examiner could issue an objection for lack of sufficiency/enablement.</w:t>
      </w:r>
    </w:p>
    <w:p>
      <w:pPr>
        <w:spacing w:after="200"/>
      </w:pPr>
      <w:r>
        <w:rPr>
          <w:b w:val="false"/>
          <w:bCs w:val="false"/>
          <w:i w:val="false"/>
          <w:iCs w:val="false"/>
        </w:rPr>
        <w:t xml:space="preserve">From this example it can be seen that the AI output is useful for indicating insufficiency, but it also illustrates why human oversight in the use of AI is important, because such responses can also sow the seeds of confusion if not independently verified.</w:t>
      </w:r>
    </w:p>
    <w:p>
      <w:pPr>
        <w:pStyle w:val="Heading3"/>
      </w:pPr>
      <w:r>
        <w:t xml:space="preserve">Example 2</w:t>
      </w:r>
    </w:p>
    <w:p>
      <w:pPr>
        <w:spacing w:after="200"/>
      </w:pPr>
      <w:r>
        <w:rPr>
          <w:b w:val="false"/>
          <w:bCs w:val="false"/>
          <w:i w:val="false"/>
          <w:iCs w:val="false"/>
        </w:rPr>
        <w:t xml:space="preserve">A GenAI tool was prompted to assess sufficiency of disclosure of an application relating to a multi-turbine wind energy device (an application that had, in fact, been refused by the IPO on insufficiency grounds in 2016), with the application and drawings uploaded in PDF format.</w:t>
      </w:r>
    </w:p>
    <w:p>
      <w:pPr>
        <w:spacing w:after="200"/>
      </w:pPr>
      <w:r>
        <w:rPr>
          <w:b w:val="false"/>
          <w:bCs w:val="false"/>
          <w:i w:val="false"/>
          <w:iCs w:val="false"/>
        </w:rPr>
        <w:t xml:space="preserve">The tool's first response found the disclosure insufficient, identifying that the core inventive feature — a “special gears-and-rods mechanism” linking five wind turbines to a single generator — was not adequately described: the drawings were crude schematics lacking gear ratios, tooth profiles, bearing details, shaft alignments, torque-transmission details, materials, dimensions or assembly instructions; the “specially adapted generator” was undefined; the claims were far broader than the single vague embodiment disclosed; and no quantitative data, best method, or worked example was provided.</w:t>
      </w:r>
    </w:p>
    <w:p>
      <w:pPr>
        <w:spacing w:after="200"/>
      </w:pPr>
      <w:r>
        <w:rPr>
          <w:b w:val="false"/>
          <w:bCs w:val="false"/>
          <w:i w:val="false"/>
          <w:iCs w:val="false"/>
        </w:rPr>
        <w:t xml:space="preserve">When a second prompt asked what if the applicant argues the “special gears-and-rods mechanism” is well known in the art, the tool responded that the application would still be insufficiently disclosed under Section 10(4) of the Patents Act, 1970, because the specification itself treats the mechanism as something requiring illustration in the drawings, the description's own use of the word “special” undermines a “well-known” characterisation, no specific prior art or standard technique is cited, and the drawings remain too vague to be filled in by common general knowledge, particularly for the key inventive feature on which the claimed advantage depends.</w:t>
      </w:r>
    </w:p>
    <w:p>
      <w:pPr>
        <w:spacing w:after="200"/>
      </w:pPr>
      <w:r>
        <w:rPr>
          <w:b w:val="false"/>
          <w:bCs w:val="false"/>
          <w:i w:val="false"/>
          <w:iCs w:val="false"/>
        </w:rPr>
        <w:t xml:space="preserve">In this example, the AI tool's assessment of insufficiency was found to align with the actual case, where the application was refused on the ground of insufficiency.</w:t>
      </w:r>
    </w:p>
    <w:p>
      <w:pPr>
        <w:pStyle w:val="Heading2"/>
      </w:pPr>
      <w:r>
        <w:t xml:space="preserve">1.11 Use of AI tools for understanding case law and related legal or technical concepts</w:t>
      </w:r>
    </w:p>
    <w:p>
      <w:pPr>
        <w:spacing w:after="200"/>
      </w:pPr>
      <w:r>
        <w:rPr>
          <w:b w:val="false"/>
          <w:bCs w:val="false"/>
          <w:i w:val="false"/>
          <w:iCs w:val="false"/>
        </w:rPr>
        <w:t xml:space="preserve">AI tools may hallucinate and introduce new paragraphs or create verbatim quotes that are non-existent in judgments. In the following example, a GenAI tool was used to extract verbatim quotes from an IPAB judgment in a patent case.</w:t>
      </w:r>
    </w:p>
    <w:p>
      <w:pPr>
        <w:spacing w:after="200"/>
      </w:pPr>
      <w:r>
        <w:rPr>
          <w:b w:val="false"/>
          <w:bCs w:val="false"/>
          <w:i w:val="false"/>
          <w:iCs w:val="false"/>
        </w:rPr>
        <w:t xml:space="preserve">First prompt: “Explain the teaching away concept from the patent case law on Pharmacyclics, LLC v. Controller General of Patents. Give 'verbatim quotes' and relevant citations. Cross-verify the same before populating. Produce data in tabular format.” The tool produced a table presenting three passages as “verbatim quotes”, attributed to “Pharmacyclics, LLC v. Controller General of Patents, OA/46/2020/PT/DEL, IPAB Judgment, 29 September 2020”, covering the definition of teaching away, its application in the case, and its impact on inventive step.</w:t>
      </w:r>
    </w:p>
    <w:p>
      <w:pPr>
        <w:spacing w:after="200"/>
      </w:pPr>
      <w:r>
        <w:rPr>
          <w:b w:val="false"/>
          <w:bCs w:val="false"/>
          <w:i w:val="false"/>
          <w:iCs w:val="false"/>
        </w:rPr>
        <w:t xml:space="preserve">Second prompt: “Provide source of the IPAB order.” The tool restated the same three passages as “verbatim quotes” with the same citation, and added case details (bench, judges, patent number, and a purported source link).</w:t>
      </w:r>
    </w:p>
    <w:p>
      <w:pPr>
        <w:spacing w:after="200"/>
      </w:pPr>
      <w:r>
        <w:rPr>
          <w:b w:val="false"/>
          <w:bCs w:val="false"/>
          <w:i w:val="false"/>
          <w:iCs w:val="false"/>
        </w:rPr>
        <w:t xml:space="preserve">Third prompt: “I could not find Verbatim Quotes as suggested by you.” The tool then acknowledged that the earlier passages were “reconstructions, not direct extracts”, that the actual order was not freely available on open sources, and that it had generated a paraphrased summary rather than genuine verbatim text — directing the user instead to consult subscription databases such as CaseMine, Manupatra, or SCC Online for the authentic text.</w:t>
      </w:r>
    </w:p>
    <w:p>
      <w:pPr>
        <w:spacing w:after="200"/>
      </w:pPr>
      <w:r>
        <w:rPr>
          <w:b w:val="false"/>
          <w:bCs w:val="false"/>
          <w:i w:val="false"/>
          <w:iCs w:val="false"/>
        </w:rPr>
        <w:t xml:space="preserve">This is a typical example of fabricated verbatim quotations — a severe form of extrinsic hallucination combined with misattribution — in which an AI tool, asked to provide “verbatim quotations”, generated a response without access to the primary source and presented it as verbatim, which was factually incorrect. Only after repeated prompting about the veracity of the quotations did the tool admit to having constructed them from secondary knowledge.</w:t>
      </w:r>
    </w:p>
    <w:p>
      <w:pPr>
        <w:spacing w:after="200"/>
      </w:pPr>
      <w:r>
        <w:rPr>
          <w:b w:val="false"/>
          <w:bCs w:val="false"/>
          <w:i w:val="false"/>
          <w:iCs w:val="false"/>
        </w:rPr>
        <w:t xml:space="preserve">The model may construct plausible-sounding quotes from secondary knowledge or pure generation and confidently attribute them as word-for-word extracts. Such outputs must never be trusted without direct verification against the actual primary document. This is exactly the kind of situation an AI user needs to always keep in mind while seeking AI-assisted output, and is a good illustration of why extreme caution is required in using AI tools.</w:t>
      </w:r>
    </w:p>
    <w:p>
      <w:r>
        <w:br w:type="page"/>
      </w:r>
    </w:p>
    <w:p>
      <w:pPr>
        <w:pStyle w:val="Heading1"/>
      </w:pPr>
      <w:r>
        <w:t xml:space="preserve">Annexure-II: Checklist and Declaration</w:t>
      </w:r>
    </w:p>
    <w:p>
      <w:pPr>
        <w:pStyle w:val="Heading2"/>
      </w:pPr>
      <w:r>
        <w:t xml:space="preserve">Checklist</w:t>
      </w:r>
    </w:p>
    <w:p>
      <w:pPr>
        <w:spacing w:after="200"/>
      </w:pPr>
      <w:r>
        <w:rPr>
          <w:b w:val="false"/>
          <w:bCs w:val="false"/>
          <w:i w:val="false"/>
          <w:iCs w:val="false"/>
        </w:rPr>
        <w:t xml:space="preserve">If the answer to any of the questions given below is “No”, the use/output of AI tools should not be relied upon without further verification, or should not be used at all, as the case may be.</w:t>
      </w:r>
    </w:p>
    <w:p>
      <w:pPr>
        <w:pStyle w:val="ListParagraph"/>
        <w:numPr>
          <w:ilvl w:val="0"/>
          <w:numId w:val="3"/>
        </w:numPr>
        <w:spacing w:after="100"/>
      </w:pPr>
      <w:r>
        <w:t xml:space="preserve">1. Is the proposed use permitted under the applicable office guidelines?</w:t>
      </w:r>
    </w:p>
    <w:p>
      <w:pPr>
        <w:pStyle w:val="ListParagraph"/>
        <w:numPr>
          <w:ilvl w:val="0"/>
          <w:numId w:val="3"/>
        </w:numPr>
        <w:spacing w:after="100"/>
      </w:pPr>
      <w:r>
        <w:t xml:space="preserve">2. Is the material being entered free from unpublished applications, internal notes, hearing notes, internal draft communications, personal data, and other confidential official material?</w:t>
      </w:r>
    </w:p>
    <w:p>
      <w:pPr>
        <w:pStyle w:val="ListParagraph"/>
        <w:numPr>
          <w:ilvl w:val="0"/>
          <w:numId w:val="3"/>
        </w:numPr>
        <w:spacing w:after="100"/>
      </w:pPr>
      <w:r>
        <w:t xml:space="preserve">3. Is the proposed use limited to an assistive purpose and not intended to replace substantive examination or decision-making?</w:t>
      </w:r>
    </w:p>
    <w:p>
      <w:pPr>
        <w:pStyle w:val="ListParagraph"/>
        <w:numPr>
          <w:ilvl w:val="0"/>
          <w:numId w:val="3"/>
        </w:numPr>
        <w:spacing w:after="100"/>
      </w:pPr>
      <w:r>
        <w:t xml:space="preserve">4. Have all technical, factual, and legal statements in the output been independently verified from the record and relevant sources?</w:t>
      </w:r>
    </w:p>
    <w:p>
      <w:pPr>
        <w:pStyle w:val="ListParagraph"/>
        <w:numPr>
          <w:ilvl w:val="0"/>
          <w:numId w:val="3"/>
        </w:numPr>
        <w:spacing w:after="100"/>
      </w:pPr>
      <w:r>
        <w:t xml:space="preserve">5. Have all cited prior-art documents, passages, authorities, or references been independently checked?</w:t>
      </w:r>
    </w:p>
    <w:p>
      <w:pPr>
        <w:pStyle w:val="ListParagraph"/>
        <w:numPr>
          <w:ilvl w:val="0"/>
          <w:numId w:val="3"/>
        </w:numPr>
        <w:spacing w:after="100"/>
      </w:pPr>
      <w:r>
        <w:t xml:space="preserve">6. Does the output correctly reflect the technical meaning, claim language, and reasoning intended to be adopted?</w:t>
      </w:r>
    </w:p>
    <w:p>
      <w:pPr>
        <w:pStyle w:val="ListParagraph"/>
        <w:numPr>
          <w:ilvl w:val="0"/>
          <w:numId w:val="3"/>
        </w:numPr>
        <w:spacing w:after="100"/>
      </w:pPr>
      <w:r>
        <w:t xml:space="preserve">7. Does the final analysis and conclusion remain the result of the officer’s own independent application of mind?</w:t>
      </w:r>
    </w:p>
    <w:p>
      <w:pPr>
        <w:pStyle w:val="ListParagraph"/>
        <w:numPr>
          <w:ilvl w:val="0"/>
          <w:numId w:val="3"/>
        </w:numPr>
        <w:spacing w:after="100"/>
      </w:pPr>
      <w:r>
        <w:t xml:space="preserve">8. Has the use of Artificial Intelligence been recorded, wherever such recording is required under office instructions?</w:t>
      </w:r>
    </w:p>
    <w:p>
      <w:pPr>
        <w:pStyle w:val="Heading2"/>
      </w:pPr>
      <w:r>
        <w:t xml:space="preserve">Proposed module flow requiring officers to give declaration about the use of AI in work products delivery</w:t>
      </w:r>
    </w:p>
    <w:p>
      <w:pPr>
        <w:pStyle w:val="Heading3"/>
      </w:pPr>
      <w:r>
        <w:t xml:space="preserve">Question 1</w:t>
      </w:r>
    </w:p>
    <w:p>
      <w:pPr>
        <w:spacing w:after="200"/>
      </w:pPr>
      <w:r>
        <w:rPr>
          <w:b w:val="false"/>
          <w:bCs w:val="false"/>
          <w:i w:val="false"/>
          <w:iCs w:val="false"/>
        </w:rPr>
        <w:t xml:space="preserve">Have you used any Artificial Intelligence tool in the present work?</w:t>
      </w:r>
    </w:p>
    <w:p>
      <w:pPr>
        <w:pStyle w:val="ListParagraph"/>
        <w:numPr>
          <w:ilvl w:val="0"/>
          <w:numId w:val="2"/>
        </w:numPr>
        <w:spacing w:after="100"/>
      </w:pPr>
      <w:r>
        <w:t xml:space="preserve">Yes</w:t>
      </w:r>
    </w:p>
    <w:p>
      <w:pPr>
        <w:pStyle w:val="ListParagraph"/>
        <w:numPr>
          <w:ilvl w:val="0"/>
          <w:numId w:val="2"/>
        </w:numPr>
        <w:spacing w:after="100"/>
      </w:pPr>
      <w:r>
        <w:t xml:space="preserve">No</w:t>
      </w:r>
    </w:p>
    <w:p>
      <w:pPr>
        <w:spacing w:after="200"/>
      </w:pPr>
      <w:r>
        <w:rPr>
          <w:b w:val="false"/>
          <w:bCs w:val="false"/>
          <w:i w:val="false"/>
          <w:iCs w:val="false"/>
        </w:rPr>
        <w:t xml:space="preserve">If the answer is No, the user may proceed further without additional AI-related fields.</w:t>
      </w:r>
    </w:p>
    <w:p>
      <w:pPr>
        <w:pStyle w:val="Heading3"/>
      </w:pPr>
      <w:r>
        <w:t xml:space="preserve">Question 2</w:t>
      </w:r>
    </w:p>
    <w:p>
      <w:pPr>
        <w:spacing w:after="200"/>
      </w:pPr>
      <w:r>
        <w:rPr>
          <w:b w:val="false"/>
          <w:bCs w:val="false"/>
          <w:i w:val="false"/>
          <w:iCs w:val="false"/>
        </w:rPr>
        <w:t xml:space="preserve">Please indicate the purpose for which Artificial Intelligence was used in the present work. Select one or more of the following:</w:t>
      </w:r>
    </w:p>
    <w:p>
      <w:pPr>
        <w:pStyle w:val="ListParagraph"/>
        <w:numPr>
          <w:ilvl w:val="0"/>
          <w:numId w:val="2"/>
        </w:numPr>
        <w:spacing w:after="100"/>
      </w:pPr>
      <w:r>
        <w:t xml:space="preserve">Classification</w:t>
      </w:r>
    </w:p>
    <w:p>
      <w:pPr>
        <w:pStyle w:val="ListParagraph"/>
        <w:numPr>
          <w:ilvl w:val="0"/>
          <w:numId w:val="2"/>
        </w:numPr>
        <w:spacing w:after="100"/>
      </w:pPr>
      <w:r>
        <w:t xml:space="preserve">Search support</w:t>
      </w:r>
    </w:p>
    <w:p>
      <w:pPr>
        <w:pStyle w:val="ListParagraph"/>
        <w:numPr>
          <w:ilvl w:val="0"/>
          <w:numId w:val="2"/>
        </w:numPr>
        <w:spacing w:after="100"/>
      </w:pPr>
      <w:r>
        <w:t xml:space="preserve">Technical support for preliminary understanding</w:t>
      </w:r>
    </w:p>
    <w:p>
      <w:pPr>
        <w:pStyle w:val="ListParagraph"/>
        <w:numPr>
          <w:ilvl w:val="0"/>
          <w:numId w:val="2"/>
        </w:numPr>
        <w:spacing w:after="100"/>
      </w:pPr>
      <w:r>
        <w:t xml:space="preserve">Language refinement / grammar correction / readability</w:t>
      </w:r>
    </w:p>
    <w:p>
      <w:pPr>
        <w:pStyle w:val="ListParagraph"/>
        <w:numPr>
          <w:ilvl w:val="0"/>
          <w:numId w:val="2"/>
        </w:numPr>
        <w:spacing w:after="100"/>
      </w:pPr>
      <w:r>
        <w:t xml:space="preserve">Other permitted assistive use</w:t>
      </w:r>
    </w:p>
    <w:p>
      <w:pPr>
        <w:pStyle w:val="ListParagraph"/>
        <w:numPr>
          <w:ilvl w:val="0"/>
          <w:numId w:val="2"/>
        </w:numPr>
        <w:spacing w:after="100"/>
      </w:pPr>
      <w:r>
        <w:t xml:space="preserve">Other (please specify): ____________</w:t>
      </w:r>
    </w:p>
    <w:p>
      <w:pPr>
        <w:pStyle w:val="Heading3"/>
      </w:pPr>
      <w:r>
        <w:t xml:space="preserve">Declaration</w:t>
      </w:r>
    </w:p>
    <w:p>
      <w:pPr>
        <w:spacing w:after="200"/>
      </w:pPr>
      <w:r>
        <w:rPr>
          <w:b w:val="false"/>
          <w:bCs w:val="false"/>
          <w:i w:val="false"/>
          <w:iCs w:val="false"/>
        </w:rPr>
        <w:t xml:space="preserve">I hereby declare that the use of Artificial Intelligence in the present work was limited to the extent permitted under the applicable office guidelines. I further declare that no confidential or unpublished official material was entered into any public or unapproved Artificial Intelligence tool. I also declare that I remain responsible for the search, citations, analysis, reasoning, conclusions, and official text, wherever applicable, and that the same have been independently reviewed and adopted by me on the basis of my own application of mind.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360"/>
      </w:pPr>
    </w:lvl>
    <w:lvl w:ilvl="1" w15:tentative="1">
      <w:start w:val="1"/>
      <w:numFmt w:val="bullet"/>
      <w:lvlText w:val="◦"/>
      <w:lvlJc w:val="left"/>
      <w:pPr>
        <w:ind w:left="1152" w:hanging="360"/>
      </w:pPr>
    </w:lvl>
  </w:abstractNum>
  <w:abstractNum w:abstractNumId="3" w15:restartNumberingAfterBreak="0">
    <w:multiLevelType w:val="hybridMultilevel"/>
    <w:lvl w:ilvl="0" w15:tentative="1">
      <w:start w:val="1"/>
      <w:numFmt w:val="decimal"/>
      <w:lvlText w:val="%1."/>
      <w:lvlJc w:val="left"/>
      <w:pPr>
        <w:ind w:left="576" w:hanging="360"/>
      </w:pPr>
    </w:lvl>
    <w:lvl w:ilvl="1" w15:tentative="1">
      <w:start w:val="1"/>
      <w:numFmt w:val="lowerLetter"/>
      <w:lvlText w:val="%2."/>
      <w:lvlJc w:val="left"/>
      <w:pPr>
        <w:ind w:left="1152"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b/>
      <w:bCs/>
      <w:color w:val="1F3864"/>
      <w:sz w:val="32"/>
      <w:szCs w:val="32"/>
    </w:rPr>
  </w:style>
  <w:style w:type="paragraph" w:styleId="Heading2">
    <w:name w:val="Heading 2"/>
    <w:basedOn w:val="Normal"/>
    <w:next w:val="Normal"/>
    <w:qFormat/>
    <w:pPr>
      <w:spacing w:after="160" w:before="300"/>
      <w:outlineLvl w:val="1"/>
    </w:pPr>
    <w:rPr>
      <w:b/>
      <w:bCs/>
      <w:color w:val="2E5496"/>
      <w:sz w:val="28"/>
      <w:szCs w:val="28"/>
    </w:rPr>
  </w:style>
  <w:style w:type="paragraph" w:styleId="Heading3">
    <w:name w:val="Heading 3"/>
    <w:basedOn w:val="Normal"/>
    <w:next w:val="Normal"/>
    <w:qFormat/>
    <w:pPr>
      <w:spacing w:after="140" w:before="240"/>
      <w:outlineLvl w:val="2"/>
    </w:pPr>
    <w:rPr>
      <w:b/>
      <w:bCs/>
      <w:color w:val="44546A"/>
      <w:sz w:val="26"/>
      <w:szCs w:val="26"/>
    </w:rPr>
  </w:style>
  <w:style w:type="paragraph" w:styleId="Heading4">
    <w:name w:val="Heading 4"/>
    <w:basedOn w:val="Normal"/>
    <w:next w:val="Normal"/>
    <w:qFormat/>
    <w:pPr>
      <w:spacing w:after="120" w:before="200"/>
      <w:outlineLvl w:val="3"/>
    </w:pPr>
    <w:rPr>
      <w:b/>
      <w:bCs/>
      <w:i/>
      <w:iCs/>
      <w:color w:val="44546A"/>
      <w:sz w:val="24"/>
      <w:szCs w:val="24"/>
    </w:rPr>
  </w:style>
  <w:style w:type="paragraph" w:styleId="Title">
    <w:name w:val="Title"/>
    <w:basedOn w:val="Normal"/>
    <w:next w:val="Normal"/>
    <w:qFormat/>
    <w:pPr>
      <w:spacing w:after="240" w:before="0"/>
    </w:pPr>
    <w:rPr>
      <w:b/>
      <w:bCs/>
      <w:color w:val="1F3864"/>
      <w:sz w:val="40"/>
      <w:szCs w:val="4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Use of Artificial Intelligence in Patent Examination Procedures</dc:title>
  <dc:creator>Office of the Controller General of Patents, Designs and Trade Marks (CGPDTM)</dc:creator>
  <dc:description>Accessible version prepared for screen reader use (JAWS / VoiceOver).</dc:description>
  <cp:lastModifiedBy>Un-named</cp:lastModifiedBy>
  <cp:revision>1</cp:revision>
  <dcterms:created xsi:type="dcterms:W3CDTF">2026-08-10T05:03:25.699Z</dcterms:created>
  <dcterms:modified xsi:type="dcterms:W3CDTF">2026-08-10T05:03:25.699Z</dcterms:modified>
</cp:coreProperties>
</file>

<file path=docProps/custom.xml><?xml version="1.0" encoding="utf-8"?>
<Properties xmlns="http://schemas.openxmlformats.org/officeDocument/2006/custom-properties" xmlns:vt="http://schemas.openxmlformats.org/officeDocument/2006/docPropsVTypes"/>
</file>